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52B1" w14:textId="77777777" w:rsidR="00D11A6A" w:rsidRPr="00712B66" w:rsidRDefault="00D11A6A" w:rsidP="00D11A6A">
      <w:pPr>
        <w:pStyle w:val="naisnod"/>
        <w:spacing w:before="0" w:after="0"/>
        <w:ind w:firstLine="720"/>
        <w:rPr>
          <w:sz w:val="28"/>
          <w:szCs w:val="28"/>
        </w:rPr>
      </w:pPr>
      <w:r w:rsidRPr="00712B66">
        <w:rPr>
          <w:sz w:val="28"/>
          <w:szCs w:val="28"/>
        </w:rPr>
        <w:t>Izziņa par atzinumos sniegtajiem iebildumiem</w:t>
      </w:r>
    </w:p>
    <w:p w14:paraId="083B00C8" w14:textId="77777777" w:rsidR="00D11A6A" w:rsidRPr="008A36C9" w:rsidRDefault="00D11A6A" w:rsidP="00D11A6A">
      <w:pPr>
        <w:pStyle w:val="naisf"/>
        <w:spacing w:before="0" w:after="0"/>
        <w:ind w:firstLine="720"/>
      </w:pPr>
    </w:p>
    <w:tbl>
      <w:tblPr>
        <w:tblW w:w="0" w:type="auto"/>
        <w:jc w:val="center"/>
        <w:tblLook w:val="00A0" w:firstRow="1" w:lastRow="0" w:firstColumn="1" w:lastColumn="0" w:noHBand="0" w:noVBand="0"/>
      </w:tblPr>
      <w:tblGrid>
        <w:gridCol w:w="10188"/>
      </w:tblGrid>
      <w:tr w:rsidR="00D11A6A" w:rsidRPr="00712B66" w14:paraId="576CFA7C" w14:textId="77777777" w:rsidTr="00856687">
        <w:trPr>
          <w:jc w:val="center"/>
        </w:trPr>
        <w:tc>
          <w:tcPr>
            <w:tcW w:w="10188" w:type="dxa"/>
            <w:tcBorders>
              <w:bottom w:val="single" w:sz="6" w:space="0" w:color="000000"/>
            </w:tcBorders>
          </w:tcPr>
          <w:p w14:paraId="5A99C024" w14:textId="77777777" w:rsidR="00D11A6A" w:rsidRPr="0021661C" w:rsidRDefault="00D11A6A" w:rsidP="00856687">
            <w:pPr>
              <w:jc w:val="center"/>
              <w:rPr>
                <w:b/>
                <w:sz w:val="28"/>
                <w:szCs w:val="28"/>
                <w:lang w:eastAsia="en-US"/>
              </w:rPr>
            </w:pPr>
            <w:r>
              <w:rPr>
                <w:b/>
                <w:bCs/>
                <w:sz w:val="28"/>
                <w:szCs w:val="28"/>
              </w:rPr>
              <w:t>Likumprojektam</w:t>
            </w:r>
            <w:r w:rsidRPr="004E480C">
              <w:rPr>
                <w:b/>
                <w:bCs/>
                <w:sz w:val="28"/>
                <w:szCs w:val="28"/>
              </w:rPr>
              <w:t xml:space="preserve"> “Grozījumi</w:t>
            </w:r>
            <w:r>
              <w:rPr>
                <w:b/>
                <w:bCs/>
                <w:sz w:val="28"/>
                <w:szCs w:val="28"/>
              </w:rPr>
              <w:t xml:space="preserve"> Informācijas atklātības likumā”</w:t>
            </w:r>
            <w:r w:rsidRPr="00371588">
              <w:rPr>
                <w:b/>
                <w:sz w:val="28"/>
                <w:szCs w:val="28"/>
              </w:rPr>
              <w:t xml:space="preserve"> </w:t>
            </w:r>
          </w:p>
        </w:tc>
      </w:tr>
    </w:tbl>
    <w:p w14:paraId="0AD25AAA" w14:textId="77777777" w:rsidR="00D11A6A" w:rsidRPr="00712B66" w:rsidRDefault="00D11A6A" w:rsidP="00D11A6A">
      <w:pPr>
        <w:pStyle w:val="naisc"/>
        <w:spacing w:before="0" w:after="0"/>
        <w:jc w:val="left"/>
      </w:pPr>
    </w:p>
    <w:p w14:paraId="42ECE9A6" w14:textId="77777777" w:rsidR="00D11A6A" w:rsidRPr="00712B66" w:rsidRDefault="00D11A6A" w:rsidP="00D11A6A">
      <w:pPr>
        <w:pStyle w:val="naisf"/>
        <w:spacing w:before="0" w:after="0"/>
        <w:ind w:firstLine="720"/>
      </w:pPr>
    </w:p>
    <w:p w14:paraId="15CC607F" w14:textId="77777777" w:rsidR="00D11A6A" w:rsidRPr="00712B66" w:rsidRDefault="00D11A6A" w:rsidP="00D11A6A">
      <w:pPr>
        <w:pStyle w:val="naisf"/>
        <w:spacing w:before="0" w:after="0"/>
        <w:ind w:firstLine="0"/>
        <w:jc w:val="center"/>
        <w:rPr>
          <w:b/>
        </w:rPr>
      </w:pPr>
      <w:r w:rsidRPr="00712B66">
        <w:rPr>
          <w:b/>
        </w:rPr>
        <w:t>I. Jautājumi, par kuriem saskaņošanā vienošanās nav panākta</w:t>
      </w:r>
    </w:p>
    <w:p w14:paraId="5C9E9DC9" w14:textId="77777777" w:rsidR="00D11A6A" w:rsidRPr="00712B66" w:rsidRDefault="00D11A6A" w:rsidP="00D11A6A">
      <w:pPr>
        <w:pStyle w:val="naisf"/>
        <w:spacing w:before="0" w:after="0"/>
        <w:ind w:firstLine="720"/>
      </w:pPr>
    </w:p>
    <w:p w14:paraId="4C1803F5" w14:textId="77777777" w:rsidR="00D11A6A" w:rsidRPr="00712B66" w:rsidRDefault="00D11A6A" w:rsidP="00D11A6A">
      <w:pPr>
        <w:pStyle w:val="naisf"/>
        <w:spacing w:before="0" w:after="0"/>
        <w:ind w:firstLine="0"/>
      </w:pPr>
    </w:p>
    <w:p w14:paraId="505CA2F9" w14:textId="77777777" w:rsidR="00D11A6A" w:rsidRPr="00712B66" w:rsidRDefault="00D11A6A" w:rsidP="00D11A6A">
      <w:pPr>
        <w:pStyle w:val="naisf"/>
        <w:spacing w:before="0" w:after="0"/>
        <w:ind w:firstLine="0"/>
        <w:rPr>
          <w:b/>
        </w:rPr>
      </w:pPr>
      <w:r w:rsidRPr="00712B66">
        <w:rPr>
          <w:b/>
        </w:rPr>
        <w:t>Informācija par starpministriju (starpinstitūciju) sanāksmi vai elektronisko saskaņošanu</w:t>
      </w:r>
    </w:p>
    <w:p w14:paraId="0CE5038D" w14:textId="77777777" w:rsidR="00D11A6A" w:rsidRPr="00712B66" w:rsidRDefault="00D11A6A" w:rsidP="00D11A6A">
      <w:pPr>
        <w:pStyle w:val="naisf"/>
        <w:spacing w:before="0" w:after="0"/>
        <w:ind w:firstLine="0"/>
        <w:rPr>
          <w:b/>
        </w:rPr>
      </w:pPr>
    </w:p>
    <w:tbl>
      <w:tblPr>
        <w:tblW w:w="14283" w:type="dxa"/>
        <w:tblLook w:val="00A0" w:firstRow="1" w:lastRow="0" w:firstColumn="1" w:lastColumn="0" w:noHBand="0" w:noVBand="0"/>
      </w:tblPr>
      <w:tblGrid>
        <w:gridCol w:w="6629"/>
        <w:gridCol w:w="919"/>
        <w:gridCol w:w="6735"/>
      </w:tblGrid>
      <w:tr w:rsidR="00D11A6A" w:rsidRPr="00712B66" w14:paraId="7BAA8F0E" w14:textId="77777777" w:rsidTr="00856687">
        <w:tc>
          <w:tcPr>
            <w:tcW w:w="6629" w:type="dxa"/>
          </w:tcPr>
          <w:p w14:paraId="48C5EA93" w14:textId="77777777" w:rsidR="00D11A6A" w:rsidRPr="00712B66" w:rsidRDefault="00D11A6A" w:rsidP="00856687">
            <w:pPr>
              <w:pStyle w:val="naisf"/>
              <w:spacing w:before="0" w:after="0"/>
              <w:ind w:firstLine="0"/>
            </w:pPr>
            <w:r w:rsidRPr="00712B66">
              <w:t>Datums</w:t>
            </w:r>
          </w:p>
        </w:tc>
        <w:tc>
          <w:tcPr>
            <w:tcW w:w="7654" w:type="dxa"/>
            <w:gridSpan w:val="2"/>
            <w:tcBorders>
              <w:bottom w:val="single" w:sz="4" w:space="0" w:color="auto"/>
            </w:tcBorders>
          </w:tcPr>
          <w:p w14:paraId="6BC4E5A3" w14:textId="77777777" w:rsidR="00D11A6A" w:rsidRPr="007C086B" w:rsidRDefault="00D11A6A" w:rsidP="00856687">
            <w:pPr>
              <w:pStyle w:val="NormalWeb"/>
              <w:spacing w:before="0" w:beforeAutospacing="0" w:after="0" w:afterAutospacing="0"/>
              <w:ind w:left="34"/>
            </w:pPr>
          </w:p>
        </w:tc>
      </w:tr>
      <w:tr w:rsidR="00D11A6A" w:rsidRPr="00712B66" w14:paraId="5AEA65C6" w14:textId="77777777" w:rsidTr="00856687">
        <w:tc>
          <w:tcPr>
            <w:tcW w:w="6629" w:type="dxa"/>
          </w:tcPr>
          <w:p w14:paraId="593EFB34" w14:textId="77777777" w:rsidR="00D11A6A" w:rsidRPr="00712B66" w:rsidRDefault="00D11A6A" w:rsidP="00856687">
            <w:pPr>
              <w:pStyle w:val="naisf"/>
              <w:spacing w:before="0" w:after="0"/>
              <w:ind w:firstLine="0"/>
            </w:pPr>
          </w:p>
        </w:tc>
        <w:tc>
          <w:tcPr>
            <w:tcW w:w="7654" w:type="dxa"/>
            <w:gridSpan w:val="2"/>
            <w:tcBorders>
              <w:top w:val="single" w:sz="4" w:space="0" w:color="auto"/>
            </w:tcBorders>
          </w:tcPr>
          <w:p w14:paraId="6037E21D" w14:textId="77777777" w:rsidR="00D11A6A" w:rsidRPr="00712B66" w:rsidRDefault="00D11A6A" w:rsidP="00856687">
            <w:pPr>
              <w:pStyle w:val="NormalWeb"/>
              <w:spacing w:before="0" w:beforeAutospacing="0" w:after="0" w:afterAutospacing="0"/>
              <w:ind w:firstLine="720"/>
            </w:pPr>
          </w:p>
        </w:tc>
      </w:tr>
      <w:tr w:rsidR="00D11A6A" w:rsidRPr="00712B66" w14:paraId="7999EE36" w14:textId="77777777" w:rsidTr="00856687">
        <w:tc>
          <w:tcPr>
            <w:tcW w:w="6629" w:type="dxa"/>
          </w:tcPr>
          <w:p w14:paraId="6D4F44B4" w14:textId="77777777" w:rsidR="00D11A6A" w:rsidRPr="00712B66" w:rsidRDefault="00D11A6A" w:rsidP="00856687">
            <w:pPr>
              <w:pStyle w:val="naiskr"/>
              <w:spacing w:before="0" w:after="0"/>
            </w:pPr>
            <w:r>
              <w:t>Saskaņošanas d</w:t>
            </w:r>
            <w:r w:rsidRPr="00712B66">
              <w:t>alībnieki</w:t>
            </w:r>
          </w:p>
        </w:tc>
        <w:tc>
          <w:tcPr>
            <w:tcW w:w="7654" w:type="dxa"/>
            <w:gridSpan w:val="2"/>
          </w:tcPr>
          <w:p w14:paraId="150B9D30" w14:textId="77777777" w:rsidR="00D11A6A" w:rsidRPr="00712B66" w:rsidRDefault="00D11A6A" w:rsidP="00856687">
            <w:pPr>
              <w:pStyle w:val="NormalWeb"/>
              <w:spacing w:before="0" w:beforeAutospacing="0" w:after="0" w:afterAutospacing="0"/>
            </w:pPr>
          </w:p>
        </w:tc>
      </w:tr>
      <w:tr w:rsidR="00D11A6A" w:rsidRPr="00712B66" w14:paraId="6F08E1FE" w14:textId="77777777" w:rsidTr="00856687">
        <w:trPr>
          <w:trHeight w:val="285"/>
        </w:trPr>
        <w:tc>
          <w:tcPr>
            <w:tcW w:w="6629" w:type="dxa"/>
          </w:tcPr>
          <w:p w14:paraId="21547B2A" w14:textId="77777777" w:rsidR="00D11A6A" w:rsidRPr="00712B66" w:rsidRDefault="00D11A6A" w:rsidP="00856687">
            <w:pPr>
              <w:pStyle w:val="naiskr"/>
              <w:spacing w:before="0" w:after="0"/>
            </w:pPr>
          </w:p>
        </w:tc>
        <w:tc>
          <w:tcPr>
            <w:tcW w:w="919" w:type="dxa"/>
          </w:tcPr>
          <w:p w14:paraId="4105C350" w14:textId="77777777" w:rsidR="00D11A6A" w:rsidRPr="00712B66" w:rsidRDefault="00D11A6A" w:rsidP="00856687">
            <w:pPr>
              <w:pStyle w:val="naiskr"/>
              <w:spacing w:before="0" w:after="0"/>
              <w:ind w:firstLine="720"/>
            </w:pPr>
          </w:p>
        </w:tc>
        <w:tc>
          <w:tcPr>
            <w:tcW w:w="6735" w:type="dxa"/>
          </w:tcPr>
          <w:p w14:paraId="1522B1BA" w14:textId="77777777" w:rsidR="00D11A6A" w:rsidRPr="00712B66" w:rsidRDefault="00D11A6A" w:rsidP="00856687">
            <w:pPr>
              <w:pStyle w:val="naiskr"/>
              <w:spacing w:before="0" w:after="0"/>
              <w:ind w:firstLine="12"/>
            </w:pPr>
          </w:p>
        </w:tc>
      </w:tr>
    </w:tbl>
    <w:p w14:paraId="42D2BAAB" w14:textId="77777777" w:rsidR="00D11A6A" w:rsidRDefault="00D11A6A" w:rsidP="00D11A6A"/>
    <w:tbl>
      <w:tblPr>
        <w:tblW w:w="14142" w:type="dxa"/>
        <w:tblLook w:val="00A0" w:firstRow="1" w:lastRow="0" w:firstColumn="1" w:lastColumn="0" w:noHBand="0" w:noVBand="0"/>
      </w:tblPr>
      <w:tblGrid>
        <w:gridCol w:w="6629"/>
        <w:gridCol w:w="7513"/>
      </w:tblGrid>
      <w:tr w:rsidR="00D11A6A" w:rsidRPr="00712B66" w14:paraId="2C8DEC17" w14:textId="77777777" w:rsidTr="00856687">
        <w:trPr>
          <w:trHeight w:val="285"/>
        </w:trPr>
        <w:tc>
          <w:tcPr>
            <w:tcW w:w="6629" w:type="dxa"/>
          </w:tcPr>
          <w:p w14:paraId="29501374" w14:textId="77777777" w:rsidR="00D11A6A" w:rsidRPr="00712B66" w:rsidRDefault="00D11A6A" w:rsidP="00856687">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7513" w:type="dxa"/>
          </w:tcPr>
          <w:p w14:paraId="0007211C" w14:textId="6F63B3FB" w:rsidR="00D11A6A" w:rsidRPr="00712B66" w:rsidRDefault="001230BC" w:rsidP="00856687">
            <w:pPr>
              <w:pStyle w:val="naiskr"/>
              <w:spacing w:before="0" w:after="0"/>
            </w:pPr>
            <w:r>
              <w:t xml:space="preserve">Ekonomikas ministrija, Tieslietu ministrija, Iekšlietu ministrija, </w:t>
            </w:r>
            <w:r w:rsidR="001708DD">
              <w:t>Finanšu ministrija</w:t>
            </w:r>
          </w:p>
        </w:tc>
      </w:tr>
      <w:tr w:rsidR="00D11A6A" w:rsidRPr="00712B66" w14:paraId="4670FADB" w14:textId="77777777" w:rsidTr="00856687">
        <w:trPr>
          <w:gridAfter w:val="1"/>
          <w:wAfter w:w="7513" w:type="dxa"/>
        </w:trPr>
        <w:tc>
          <w:tcPr>
            <w:tcW w:w="6629" w:type="dxa"/>
          </w:tcPr>
          <w:p w14:paraId="5BA6FBAE" w14:textId="77777777" w:rsidR="00D11A6A" w:rsidRDefault="00D11A6A" w:rsidP="00856687">
            <w:pPr>
              <w:pStyle w:val="naiskr"/>
              <w:spacing w:before="0" w:after="0"/>
            </w:pPr>
          </w:p>
          <w:p w14:paraId="30123B12" w14:textId="77777777" w:rsidR="00D11A6A" w:rsidRPr="00712B66" w:rsidRDefault="00D11A6A" w:rsidP="00856687">
            <w:pPr>
              <w:pStyle w:val="naiskr"/>
              <w:spacing w:before="0" w:after="0"/>
            </w:pPr>
            <w:r w:rsidRPr="00712B66">
              <w:t>Ministrijas (citas institūcijas), kuras nav ieradušās uz sanāksmi vai kuras nav atbildējušas uz uzaicinājumu piedalīties elektroniskajā saskaņošanā</w:t>
            </w:r>
          </w:p>
        </w:tc>
      </w:tr>
      <w:tr w:rsidR="007249CC" w:rsidRPr="00712B66" w14:paraId="5B6866E5" w14:textId="77777777" w:rsidTr="00856687">
        <w:trPr>
          <w:gridAfter w:val="1"/>
          <w:wAfter w:w="7513" w:type="dxa"/>
        </w:trPr>
        <w:tc>
          <w:tcPr>
            <w:tcW w:w="6629" w:type="dxa"/>
          </w:tcPr>
          <w:p w14:paraId="0A4A31E2" w14:textId="77777777" w:rsidR="007249CC" w:rsidRDefault="007249CC" w:rsidP="00856687">
            <w:pPr>
              <w:pStyle w:val="naiskr"/>
              <w:spacing w:before="0" w:after="0"/>
            </w:pPr>
          </w:p>
        </w:tc>
      </w:tr>
    </w:tbl>
    <w:p w14:paraId="70769970"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10E93EF3" w14:textId="77777777" w:rsidR="007B4C0F" w:rsidRPr="00712B66"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094"/>
        <w:gridCol w:w="4961"/>
        <w:gridCol w:w="2126"/>
        <w:gridCol w:w="5103"/>
      </w:tblGrid>
      <w:tr w:rsidR="00134188" w:rsidRPr="00712B66" w14:paraId="686635B8" w14:textId="77777777" w:rsidTr="00566C52">
        <w:tc>
          <w:tcPr>
            <w:tcW w:w="708" w:type="dxa"/>
            <w:vAlign w:val="center"/>
          </w:tcPr>
          <w:p w14:paraId="5F209B0F" w14:textId="77777777" w:rsidR="00134188" w:rsidRPr="00712B66" w:rsidRDefault="00134188" w:rsidP="009623BC">
            <w:pPr>
              <w:pStyle w:val="naisc"/>
              <w:spacing w:before="0" w:after="0"/>
            </w:pPr>
            <w:r w:rsidRPr="00712B66">
              <w:t>Nr. p.k.</w:t>
            </w:r>
          </w:p>
        </w:tc>
        <w:tc>
          <w:tcPr>
            <w:tcW w:w="2094" w:type="dxa"/>
            <w:vAlign w:val="center"/>
          </w:tcPr>
          <w:p w14:paraId="00E983CB"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961" w:type="dxa"/>
            <w:vAlign w:val="center"/>
          </w:tcPr>
          <w:p w14:paraId="1971A118"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2126" w:type="dxa"/>
            <w:vAlign w:val="center"/>
          </w:tcPr>
          <w:p w14:paraId="373DDEDA"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5103" w:type="dxa"/>
            <w:vAlign w:val="center"/>
          </w:tcPr>
          <w:p w14:paraId="5B9B1AF6" w14:textId="77777777" w:rsidR="00134188" w:rsidRPr="00712B66" w:rsidRDefault="00134188" w:rsidP="009623BC">
            <w:pPr>
              <w:jc w:val="center"/>
            </w:pPr>
            <w:r w:rsidRPr="00712B66">
              <w:t>Projekta attiecīgā punkta (panta) galīgā redakcija</w:t>
            </w:r>
          </w:p>
        </w:tc>
      </w:tr>
      <w:tr w:rsidR="00134188" w:rsidRPr="003B71E0" w14:paraId="3CA0E21C" w14:textId="77777777" w:rsidTr="00566C52">
        <w:tc>
          <w:tcPr>
            <w:tcW w:w="708" w:type="dxa"/>
          </w:tcPr>
          <w:p w14:paraId="3427B254" w14:textId="77777777" w:rsidR="00134188" w:rsidRPr="003B71E0" w:rsidRDefault="003B71E0" w:rsidP="003B71E0">
            <w:pPr>
              <w:pStyle w:val="naisc"/>
              <w:spacing w:before="0" w:after="0"/>
              <w:rPr>
                <w:sz w:val="20"/>
                <w:szCs w:val="20"/>
              </w:rPr>
            </w:pPr>
            <w:r w:rsidRPr="003B71E0">
              <w:rPr>
                <w:sz w:val="20"/>
                <w:szCs w:val="20"/>
              </w:rPr>
              <w:t>1</w:t>
            </w:r>
          </w:p>
        </w:tc>
        <w:tc>
          <w:tcPr>
            <w:tcW w:w="2094" w:type="dxa"/>
          </w:tcPr>
          <w:p w14:paraId="71F11C3A" w14:textId="77777777" w:rsidR="00134188" w:rsidRPr="003B71E0" w:rsidRDefault="00F34AAB" w:rsidP="003B71E0">
            <w:pPr>
              <w:pStyle w:val="naisc"/>
              <w:spacing w:before="0" w:after="0"/>
              <w:ind w:firstLine="720"/>
              <w:rPr>
                <w:sz w:val="20"/>
                <w:szCs w:val="20"/>
              </w:rPr>
            </w:pPr>
            <w:r>
              <w:rPr>
                <w:sz w:val="20"/>
                <w:szCs w:val="20"/>
              </w:rPr>
              <w:t>2</w:t>
            </w:r>
          </w:p>
        </w:tc>
        <w:tc>
          <w:tcPr>
            <w:tcW w:w="4961" w:type="dxa"/>
          </w:tcPr>
          <w:p w14:paraId="49D4C37F"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2126" w:type="dxa"/>
          </w:tcPr>
          <w:p w14:paraId="025CC4AB"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5103" w:type="dxa"/>
          </w:tcPr>
          <w:p w14:paraId="3BF18C51" w14:textId="2042E654" w:rsidR="00486D22" w:rsidRPr="003B71E0" w:rsidRDefault="003B71E0" w:rsidP="007249CC">
            <w:pPr>
              <w:jc w:val="center"/>
              <w:rPr>
                <w:sz w:val="20"/>
                <w:szCs w:val="20"/>
              </w:rPr>
            </w:pPr>
            <w:r w:rsidRPr="003B71E0">
              <w:rPr>
                <w:sz w:val="20"/>
                <w:szCs w:val="20"/>
              </w:rPr>
              <w:t>5</w:t>
            </w:r>
          </w:p>
        </w:tc>
      </w:tr>
      <w:tr w:rsidR="00E1438F" w:rsidRPr="003B71E0" w14:paraId="76299EA8" w14:textId="77777777" w:rsidTr="00F65D4C">
        <w:tc>
          <w:tcPr>
            <w:tcW w:w="14992" w:type="dxa"/>
            <w:gridSpan w:val="5"/>
            <w:shd w:val="clear" w:color="auto" w:fill="D9D9D9"/>
          </w:tcPr>
          <w:p w14:paraId="030F1F1F" w14:textId="77777777" w:rsidR="00E1438F" w:rsidRPr="00156FD2" w:rsidRDefault="00702D79" w:rsidP="00486D22">
            <w:pPr>
              <w:spacing w:after="60"/>
              <w:jc w:val="center"/>
              <w:rPr>
                <w:b/>
                <w:sz w:val="26"/>
                <w:szCs w:val="26"/>
              </w:rPr>
            </w:pPr>
            <w:r>
              <w:rPr>
                <w:b/>
                <w:sz w:val="26"/>
                <w:szCs w:val="26"/>
              </w:rPr>
              <w:lastRenderedPageBreak/>
              <w:t>Ekonomikas</w:t>
            </w:r>
            <w:r w:rsidR="00E1438F" w:rsidRPr="00156FD2">
              <w:rPr>
                <w:b/>
                <w:sz w:val="26"/>
                <w:szCs w:val="26"/>
              </w:rPr>
              <w:t xml:space="preserve"> ministrijas atzinums</w:t>
            </w:r>
          </w:p>
        </w:tc>
      </w:tr>
      <w:tr w:rsidR="00060715" w:rsidRPr="003B71E0" w14:paraId="460E14F8" w14:textId="77777777" w:rsidTr="00566C52">
        <w:tc>
          <w:tcPr>
            <w:tcW w:w="708" w:type="dxa"/>
          </w:tcPr>
          <w:p w14:paraId="35B88E4B" w14:textId="025952BD" w:rsidR="00060715" w:rsidRPr="00E1438F" w:rsidRDefault="001708DD" w:rsidP="00060715">
            <w:pPr>
              <w:pStyle w:val="naisc"/>
              <w:spacing w:before="0" w:after="0"/>
            </w:pPr>
            <w:r>
              <w:t>1.</w:t>
            </w:r>
          </w:p>
        </w:tc>
        <w:tc>
          <w:tcPr>
            <w:tcW w:w="2094" w:type="dxa"/>
          </w:tcPr>
          <w:p w14:paraId="04379603" w14:textId="77777777" w:rsidR="00060715" w:rsidRPr="00B9360D" w:rsidRDefault="00702D79" w:rsidP="00060715">
            <w:pPr>
              <w:pStyle w:val="naisc"/>
              <w:spacing w:before="0" w:after="0"/>
              <w:ind w:firstLine="5"/>
              <w:jc w:val="both"/>
            </w:pPr>
            <w:r>
              <w:t>Informatīvā ziņojuma pielikums “Atvēršanai piemēroto datu kopu saraksts”</w:t>
            </w:r>
          </w:p>
        </w:tc>
        <w:tc>
          <w:tcPr>
            <w:tcW w:w="4961" w:type="dxa"/>
          </w:tcPr>
          <w:p w14:paraId="63829E7F" w14:textId="77777777" w:rsidR="00702D79" w:rsidRDefault="00702D79" w:rsidP="00702D79">
            <w:pPr>
              <w:jc w:val="both"/>
            </w:pPr>
            <w:r>
              <w:t>Lūdzam precizēt Informatīvā ziņojuma pielikumā “Atvēršanai piemēroto datu kopu saraksts” šādus datu kopu atvēršanas termiņus:</w:t>
            </w:r>
          </w:p>
          <w:p w14:paraId="25074AD3" w14:textId="77777777" w:rsidR="00702D79" w:rsidRDefault="00702D79" w:rsidP="00702D79">
            <w:pPr>
              <w:numPr>
                <w:ilvl w:val="0"/>
                <w:numId w:val="12"/>
              </w:numPr>
              <w:jc w:val="both"/>
            </w:pPr>
            <w:r>
              <w:t>valsts aģentūra “Latvijas Nacionālais akreditācijas birojs” – Akreditēto atbilstības novērtēšanas institūciju saraksts – 01.06.2022.</w:t>
            </w:r>
          </w:p>
          <w:p w14:paraId="315B9FD3" w14:textId="7CDBA96B" w:rsidR="00DC72A3" w:rsidRDefault="00702D79" w:rsidP="00323DD7">
            <w:pPr>
              <w:numPr>
                <w:ilvl w:val="0"/>
                <w:numId w:val="12"/>
              </w:numPr>
              <w:jc w:val="both"/>
            </w:pPr>
            <w:r>
              <w:t>valsts aģentūra “Latvijas Nacionālais akreditācijas birojs” – Vides verificētāju reģistrs – 01.06.2022.</w:t>
            </w:r>
          </w:p>
          <w:p w14:paraId="230F1DE6" w14:textId="77777777" w:rsidR="00DC72A3" w:rsidRPr="009E28B7" w:rsidRDefault="00DC72A3" w:rsidP="00323DD7">
            <w:pPr>
              <w:jc w:val="both"/>
            </w:pPr>
          </w:p>
        </w:tc>
        <w:tc>
          <w:tcPr>
            <w:tcW w:w="2126" w:type="dxa"/>
          </w:tcPr>
          <w:p w14:paraId="15FAB588" w14:textId="1DA7A21C" w:rsidR="00060715" w:rsidRPr="00B9360D" w:rsidRDefault="00060715" w:rsidP="001907C8">
            <w:pPr>
              <w:pStyle w:val="naisc"/>
              <w:spacing w:before="0" w:after="0"/>
              <w:ind w:hanging="106"/>
              <w:rPr>
                <w:b/>
              </w:rPr>
            </w:pPr>
            <w:r w:rsidRPr="00B9360D">
              <w:rPr>
                <w:b/>
              </w:rPr>
              <w:t>Ņemts vērā</w:t>
            </w:r>
            <w:r w:rsidR="00634EAE">
              <w:rPr>
                <w:b/>
              </w:rPr>
              <w:t>.</w:t>
            </w:r>
          </w:p>
        </w:tc>
        <w:tc>
          <w:tcPr>
            <w:tcW w:w="5103" w:type="dxa"/>
          </w:tcPr>
          <w:p w14:paraId="362EF64A" w14:textId="77777777" w:rsidR="00054A5D" w:rsidRDefault="00054A5D" w:rsidP="00060715">
            <w:pPr>
              <w:jc w:val="center"/>
            </w:pPr>
            <w:r>
              <w:t>Atbilstoši precizēts pielikums.</w:t>
            </w:r>
          </w:p>
          <w:p w14:paraId="5D160F53" w14:textId="77777777" w:rsidR="00054A5D" w:rsidRDefault="00054A5D" w:rsidP="00054A5D">
            <w:pPr>
              <w:ind w:left="720"/>
              <w:jc w:val="both"/>
            </w:pPr>
          </w:p>
          <w:p w14:paraId="6DA2FD39" w14:textId="58CD7533" w:rsidR="00603666" w:rsidRDefault="00603666" w:rsidP="00603666">
            <w:pPr>
              <w:numPr>
                <w:ilvl w:val="0"/>
                <w:numId w:val="12"/>
              </w:numPr>
              <w:jc w:val="both"/>
            </w:pPr>
            <w:r>
              <w:t>valsts aģentūra “Latvijas Nacionālais akreditācijas birojs” – Akreditēto atbilstības novērtēšanas institūciju saraksts – 01.06.2022.</w:t>
            </w:r>
          </w:p>
          <w:p w14:paraId="20D96035" w14:textId="77777777" w:rsidR="00603666" w:rsidRDefault="00603666" w:rsidP="00603666">
            <w:pPr>
              <w:numPr>
                <w:ilvl w:val="0"/>
                <w:numId w:val="12"/>
              </w:numPr>
              <w:jc w:val="both"/>
            </w:pPr>
            <w:r>
              <w:t>valsts aģentūra “Latvijas Nacionālais akreditācijas birojs” – Vides verificētāju reģistrs – 01.06.2022.</w:t>
            </w:r>
          </w:p>
          <w:p w14:paraId="4E12E5FE" w14:textId="6F30E497" w:rsidR="003046AA" w:rsidRPr="00B9360D" w:rsidRDefault="003046AA" w:rsidP="00060715">
            <w:pPr>
              <w:jc w:val="center"/>
            </w:pPr>
          </w:p>
        </w:tc>
      </w:tr>
      <w:tr w:rsidR="00060715" w:rsidRPr="00AD421B" w14:paraId="3A01549C" w14:textId="77777777" w:rsidTr="00F65D4C">
        <w:tc>
          <w:tcPr>
            <w:tcW w:w="14992" w:type="dxa"/>
            <w:gridSpan w:val="5"/>
            <w:shd w:val="clear" w:color="auto" w:fill="D9D9D9"/>
          </w:tcPr>
          <w:p w14:paraId="254743D0" w14:textId="77777777" w:rsidR="00060715" w:rsidRPr="00156FD2" w:rsidRDefault="00060715" w:rsidP="00486D22">
            <w:pPr>
              <w:spacing w:after="60"/>
              <w:jc w:val="center"/>
              <w:rPr>
                <w:b/>
                <w:sz w:val="26"/>
                <w:szCs w:val="26"/>
              </w:rPr>
            </w:pPr>
            <w:r w:rsidRPr="00156FD2">
              <w:rPr>
                <w:b/>
                <w:sz w:val="26"/>
                <w:szCs w:val="26"/>
              </w:rPr>
              <w:t>Tieslietu ministrijas atzinums</w:t>
            </w:r>
          </w:p>
        </w:tc>
      </w:tr>
      <w:tr w:rsidR="00323DD7" w:rsidRPr="00712B66" w14:paraId="061DAE3F" w14:textId="77777777" w:rsidTr="00566C52">
        <w:tc>
          <w:tcPr>
            <w:tcW w:w="708" w:type="dxa"/>
          </w:tcPr>
          <w:p w14:paraId="6017BA8A" w14:textId="0646AEE1" w:rsidR="00323DD7" w:rsidRDefault="001708DD" w:rsidP="00060715">
            <w:pPr>
              <w:jc w:val="center"/>
            </w:pPr>
            <w:r>
              <w:t>2.</w:t>
            </w:r>
          </w:p>
        </w:tc>
        <w:tc>
          <w:tcPr>
            <w:tcW w:w="2094" w:type="dxa"/>
          </w:tcPr>
          <w:p w14:paraId="095C201F" w14:textId="77777777" w:rsidR="00323DD7" w:rsidRDefault="00323DD7" w:rsidP="00060715">
            <w:pPr>
              <w:pStyle w:val="naisc"/>
              <w:spacing w:before="0" w:after="0"/>
              <w:ind w:firstLine="5"/>
              <w:jc w:val="left"/>
            </w:pPr>
          </w:p>
        </w:tc>
        <w:tc>
          <w:tcPr>
            <w:tcW w:w="4961" w:type="dxa"/>
          </w:tcPr>
          <w:p w14:paraId="2E48EC87" w14:textId="77777777" w:rsidR="00323DD7" w:rsidRPr="000845E2" w:rsidRDefault="000845E2" w:rsidP="00E16986">
            <w:pPr>
              <w:pStyle w:val="NormalWeb"/>
              <w:widowControl w:val="0"/>
              <w:spacing w:before="0" w:beforeAutospacing="0" w:after="120" w:afterAutospacing="0"/>
              <w:ind w:firstLine="720"/>
              <w:jc w:val="both"/>
            </w:pPr>
            <w:r>
              <w:t>1. Lūdzam precizēt projekta 4. sadaļā ietvertās tabulas otrajā ailē norādīto atsauci uz likumu "Par nodokļiem un nodevām". Vēršam uzmanību, ka pienākums nodrošināt nodokļu (nodevu) iekasēšanas publiskumu, ik gadu līdz 1. aprīlim publicējot informāciju par nodokļu maksātāju (komersantu) iepriekšējā taksācijas gadā samaksāto Valsts ieņēmumu dienesta administrēto nodokļu (nodevu) apmēra kopsummu, izriet no likuma "Par nodokļiem un nodevām" 18. panta pirmās daļas 8.</w:t>
            </w:r>
            <w:r>
              <w:rPr>
                <w:vertAlign w:val="superscript"/>
              </w:rPr>
              <w:t>1</w:t>
            </w:r>
            <w:r>
              <w:t> punkta.</w:t>
            </w:r>
          </w:p>
        </w:tc>
        <w:tc>
          <w:tcPr>
            <w:tcW w:w="2126" w:type="dxa"/>
          </w:tcPr>
          <w:p w14:paraId="3EA6B16A" w14:textId="4302C3EB" w:rsidR="00323DD7" w:rsidRPr="00B9360D" w:rsidRDefault="00323DD7" w:rsidP="001843F7">
            <w:pPr>
              <w:pStyle w:val="naisc"/>
              <w:spacing w:before="0" w:after="0"/>
              <w:rPr>
                <w:b/>
              </w:rPr>
            </w:pPr>
            <w:r w:rsidRPr="00B9360D">
              <w:rPr>
                <w:b/>
              </w:rPr>
              <w:t>Ņemts vērā</w:t>
            </w:r>
            <w:r w:rsidR="00634EAE">
              <w:rPr>
                <w:b/>
              </w:rPr>
              <w:t>.</w:t>
            </w:r>
          </w:p>
        </w:tc>
        <w:tc>
          <w:tcPr>
            <w:tcW w:w="5103" w:type="dxa"/>
          </w:tcPr>
          <w:p w14:paraId="68A3CA92" w14:textId="4971384C" w:rsidR="00323DD7" w:rsidRDefault="004852B3" w:rsidP="00E5063A">
            <w:pPr>
              <w:jc w:val="both"/>
            </w:pPr>
            <w:r>
              <w:t>P</w:t>
            </w:r>
            <w:r w:rsidR="00634EAE" w:rsidRPr="00634EAE">
              <w:t>recizēt</w:t>
            </w:r>
            <w:r>
              <w:t>a</w:t>
            </w:r>
            <w:r w:rsidR="00634EAE" w:rsidRPr="00634EAE">
              <w:t xml:space="preserve"> </w:t>
            </w:r>
            <w:r w:rsidR="00E1011E">
              <w:t xml:space="preserve">ziņojuma </w:t>
            </w:r>
            <w:r w:rsidR="00634EAE" w:rsidRPr="00634EAE">
              <w:t>4. sadaļā ietvertās tabulas otrā ail</w:t>
            </w:r>
            <w:r>
              <w:t>e.</w:t>
            </w:r>
          </w:p>
          <w:p w14:paraId="3F43DEA2" w14:textId="77777777" w:rsidR="00E5063A" w:rsidRDefault="00E5063A" w:rsidP="00E5063A">
            <w:pPr>
              <w:jc w:val="both"/>
            </w:pPr>
          </w:p>
          <w:p w14:paraId="1BF0F618" w14:textId="2DF66BD6" w:rsidR="00603666" w:rsidRPr="00B9360D" w:rsidRDefault="00E5063A" w:rsidP="00E5063A">
            <w:pPr>
              <w:spacing w:after="60"/>
              <w:jc w:val="both"/>
            </w:pPr>
            <w:r>
              <w:t>“</w:t>
            </w:r>
            <w:r w:rsidRPr="00E5063A">
              <w:t>Pienākums nodrošināt nodokļu (nodevu) iekasēšanas publiskumu, ik gadu līdz 1. aprīlim publicējot informāciju par nodokļu maksātāju (komersantu) iepriekšējā taksācijas gadā samaksāto Valsts ieņēmumu dienesta administrēto nodokļu (nodevu) apmēra kopsummu, izriet no likuma "Par nodokļiem un nodevām" 18. panta pirmās daļas 8.</w:t>
            </w:r>
            <w:r w:rsidRPr="00E5063A">
              <w:rPr>
                <w:vertAlign w:val="superscript"/>
              </w:rPr>
              <w:t>1</w:t>
            </w:r>
            <w:r w:rsidRPr="00E5063A">
              <w:t xml:space="preserve"> punkta.</w:t>
            </w:r>
            <w:r>
              <w:t>”</w:t>
            </w:r>
          </w:p>
        </w:tc>
      </w:tr>
      <w:tr w:rsidR="00323DD7" w:rsidRPr="00712B66" w14:paraId="5855504D" w14:textId="77777777" w:rsidTr="00566C52">
        <w:tc>
          <w:tcPr>
            <w:tcW w:w="708" w:type="dxa"/>
          </w:tcPr>
          <w:p w14:paraId="3BB24ADA" w14:textId="4A9805DF" w:rsidR="00323DD7" w:rsidRDefault="001708DD" w:rsidP="00060715">
            <w:pPr>
              <w:jc w:val="center"/>
            </w:pPr>
            <w:r>
              <w:t>3.</w:t>
            </w:r>
          </w:p>
        </w:tc>
        <w:tc>
          <w:tcPr>
            <w:tcW w:w="2094" w:type="dxa"/>
          </w:tcPr>
          <w:p w14:paraId="41EE6E3A" w14:textId="77777777" w:rsidR="00323DD7" w:rsidRDefault="00323DD7" w:rsidP="00060715">
            <w:pPr>
              <w:pStyle w:val="naisc"/>
              <w:spacing w:before="0" w:after="0"/>
              <w:ind w:firstLine="5"/>
              <w:jc w:val="left"/>
            </w:pPr>
          </w:p>
        </w:tc>
        <w:tc>
          <w:tcPr>
            <w:tcW w:w="4961" w:type="dxa"/>
          </w:tcPr>
          <w:p w14:paraId="73078986" w14:textId="77777777" w:rsidR="00E16986" w:rsidRDefault="00E16986" w:rsidP="00E16986">
            <w:pPr>
              <w:pStyle w:val="NormalWeb"/>
              <w:widowControl w:val="0"/>
              <w:spacing w:before="0" w:beforeAutospacing="0" w:after="0" w:afterAutospacing="0"/>
              <w:ind w:firstLine="720"/>
              <w:jc w:val="both"/>
            </w:pPr>
            <w:r>
              <w:t xml:space="preserve">2. Projekta 4. sadaļā ietvertās tabulas trešajā ailē norādīts, ka, veicot valsts amatpersonu deklarāciju datu kopas plašākas atvēršanas iespēju sākotnējo izvērtējumu, konstatēts, ka, lai nodrošinātu pieejamību atvērtiem datiem – valsts amatpersonu deklarāciju (turpmāk – deklarācija) publiskojamām daļām – nepieciešams veikt </w:t>
            </w:r>
            <w:r>
              <w:lastRenderedPageBreak/>
              <w:t>grozījumus likumā "Par interešu konflikta novēršanu valsts amatpersonu darbībā".</w:t>
            </w:r>
          </w:p>
          <w:p w14:paraId="0333CD73" w14:textId="77777777" w:rsidR="00E16986" w:rsidRDefault="00E16986" w:rsidP="00E16986">
            <w:pPr>
              <w:pStyle w:val="NormalWeb"/>
              <w:widowControl w:val="0"/>
              <w:spacing w:before="0" w:beforeAutospacing="0" w:after="0" w:afterAutospacing="0"/>
              <w:ind w:firstLine="720"/>
              <w:jc w:val="both"/>
            </w:pPr>
            <w:r>
              <w:t>Ministru kabineta 2002. gada 22. oktobra noteikumu Nr. 478 "Kārtība, kādā aizpildāmas, iesniedzamas, reģistrējamas un glabājamas valsts amatpersonu deklarācijas un aizpildāmi un iesniedzami valsts amatpersonu saraksti" (turpmāk – noteikumi) 2. punkts noteic, ka valsts amatpersona, iesniedzot deklarāciju, norāda deklarācijas veidu un aizpilda deklarācijas publicējamo un nepublicējamo daļu. No noteikumu 3. punkta izriet, ka, aizpildot deklarācijas publicējamo daļu, tās iesniedzējs norāda vārdu, uzvārdu, pilnu darbavietas (vai valsts amatpersonu saraksta iesniedzējas institūcijas nosaukumu) un amatu, kā arī laulātā, vecāku un pilngadīgo brāļu, māsu un bērnu vārdu, uzvārdu un radniecību.</w:t>
            </w:r>
          </w:p>
          <w:p w14:paraId="755D5A50" w14:textId="77777777" w:rsidR="00E16986" w:rsidRDefault="00E16986" w:rsidP="00E16986">
            <w:pPr>
              <w:pStyle w:val="NormalWeb"/>
              <w:widowControl w:val="0"/>
              <w:spacing w:before="0" w:beforeAutospacing="0" w:after="0" w:afterAutospacing="0"/>
              <w:ind w:firstLine="720"/>
              <w:jc w:val="both"/>
            </w:pPr>
            <w:r>
              <w:t>Vēršam uzmanību, ka no projekta 4. sadaļā ietvertās tabulas trešajā ailē norādītā secināms, ka Latvijas Atvērto datu portālā publicējama visa deklarācijas publicējamā daļa, tostarp deklarāciju publicējamajā daļā pieejamā informācija par fizisko personu personas datiem.</w:t>
            </w:r>
          </w:p>
          <w:p w14:paraId="195EAF58" w14:textId="77777777" w:rsidR="00E16986" w:rsidRDefault="00E16986" w:rsidP="00E16986">
            <w:pPr>
              <w:pStyle w:val="NormalWeb"/>
              <w:widowControl w:val="0"/>
              <w:spacing w:before="0" w:beforeAutospacing="0" w:after="0" w:afterAutospacing="0"/>
              <w:ind w:firstLine="720"/>
              <w:jc w:val="both"/>
            </w:pPr>
            <w:r>
              <w:t>Ievērojot minēto, lūdzam papildināt projekta 4. sadaļā ietvertās tabulas trešās ailes otro kolonnu (un citas atbilstošas projekta sadaļas) ar skaidru un nepārprotamu norādi, ka principa "atvērts pēc noklusējuma" ieviešanas gaitā tiks atvērtas tikai tādas deklarāciju datu kopas, kuras nesatur personas datus.</w:t>
            </w:r>
          </w:p>
          <w:p w14:paraId="60798C52" w14:textId="77777777" w:rsidR="00E16986" w:rsidRDefault="00E16986" w:rsidP="00E16986">
            <w:pPr>
              <w:pStyle w:val="NormalWeb"/>
              <w:widowControl w:val="0"/>
              <w:spacing w:before="0" w:beforeAutospacing="0" w:after="0" w:afterAutospacing="0"/>
              <w:ind w:firstLine="720"/>
              <w:jc w:val="both"/>
            </w:pPr>
            <w:r>
              <w:t xml:space="preserve">Papildus minētajam norādāms, ka atbilstoši Informācijas atklātības likuma </w:t>
            </w:r>
            <w:r>
              <w:lastRenderedPageBreak/>
              <w:t>4. pantam vispārpieejamā informācija ir tāda informācija, kas nav klasificēta kā ierobežotas pieejamības informācija. Savukārt Informācijas atklātības likuma 5. panta otrās daļas 4. punkts noteic, ka par ierobežotas pieejamības informāciju uzskatāma arī informācija par fiziskās personas privāto dzīvi. Vēršam uzmanību, ka atbilstoši Informācijas atklātības likuma 10. panta 2.</w:t>
            </w:r>
            <w:r>
              <w:rPr>
                <w:vertAlign w:val="superscript"/>
              </w:rPr>
              <w:t>1</w:t>
            </w:r>
            <w:r>
              <w:t> daļai vispārpieejamai informācijai, ko ievieto internetā, iestāde pēc savas iniciatīvas, ja tas ir lietderīgi, nodrošina piekļuvi atvērto datu veidā kopā ar informācijas metadatiem.</w:t>
            </w:r>
          </w:p>
          <w:p w14:paraId="32091F53" w14:textId="77777777" w:rsidR="00E16986" w:rsidRDefault="00E16986" w:rsidP="00E16986">
            <w:pPr>
              <w:pStyle w:val="NormalWeb"/>
              <w:widowControl w:val="0"/>
              <w:spacing w:before="0" w:beforeAutospacing="0" w:after="0" w:afterAutospacing="0"/>
              <w:ind w:firstLine="720"/>
              <w:jc w:val="both"/>
            </w:pPr>
            <w:r>
              <w:t>Lai arī nepieciešamība publicēt informāciju par deklarācijā norādītajiem fizisko personu personas datiem nav skaidri saprotama, no iepriekš minētā secināms, ka normatīvais regulējums jau šobrīd paredz iespēju Latvijas Atvērto datu portālā publicēt datus no deklarāciju publicējamās daļas.</w:t>
            </w:r>
          </w:p>
          <w:p w14:paraId="23037E75" w14:textId="77777777" w:rsidR="00E16986" w:rsidRDefault="00E16986" w:rsidP="00E16986">
            <w:pPr>
              <w:pStyle w:val="NormalWeb"/>
              <w:widowControl w:val="0"/>
              <w:spacing w:before="0" w:beforeAutospacing="0" w:after="0" w:afterAutospacing="0"/>
              <w:ind w:firstLine="720"/>
              <w:jc w:val="both"/>
            </w:pPr>
            <w:r>
              <w:t>Ievērojot minēto, lūdzam atbilstoši precizēt projekta 4. sadaļā ietvertās tabulas trešās ailes otrajā un trešajā kolonnā norādīto.</w:t>
            </w:r>
          </w:p>
          <w:p w14:paraId="58171709" w14:textId="77777777" w:rsidR="00E16986" w:rsidRDefault="00E16986" w:rsidP="00E16986">
            <w:pPr>
              <w:pStyle w:val="NormalWeb"/>
              <w:widowControl w:val="0"/>
              <w:spacing w:before="0" w:beforeAutospacing="0" w:after="0" w:afterAutospacing="0"/>
              <w:ind w:firstLine="720"/>
              <w:jc w:val="both"/>
            </w:pPr>
            <w:r>
              <w:t xml:space="preserve">Turklāt, Tieslietu ministrijas ieskatā, fizisko personu personas datu publicēšanā mašīnlasāmā formātā saskatāmi zināmi riski, piemēram, Latvijas Atvērto datu portālā publicēto fizisko personu personas datu savietošana ar citās informācijas sistēmās pieejamajiem fizisko personu personas datiem palielina iespējamību, ka attiecīgie fizisko personu personas dati tiks izmantoti neatbilstoši mērķim, tostarp ļaunprātīgā nolūkā. Tamdēļ, lai </w:t>
            </w:r>
            <w:r>
              <w:lastRenderedPageBreak/>
              <w:t>risinātu jautājumu par deklarācijā ietverto fizisko personu personas datu publicēšanu atvērtā veidā, kā viens no risinājumiem varētu būt iespējamo risku identificēšana un to izvērsta analīze. Šāda pieeja ļautu pārliecināties, ka fizisko personu personas datu publicēšana atvērtā veidā fiziskām personām nerada tiesību aizskārumu vai ka radītais tiesību aizskārums atbilstoši konstitucionalitātes, leģitimitātes un samērīguma testam vērtējams kā maznozīmīgs salīdzinājumā ar sabiedrības interesēm, ko šādu datu publicēšana nodrošina.</w:t>
            </w:r>
          </w:p>
          <w:p w14:paraId="08DB8785" w14:textId="77777777" w:rsidR="00323DD7" w:rsidRPr="00E16986" w:rsidRDefault="00E16986" w:rsidP="00E16986">
            <w:pPr>
              <w:pStyle w:val="NormalWeb"/>
              <w:widowControl w:val="0"/>
              <w:spacing w:before="0" w:beforeAutospacing="0" w:after="120" w:afterAutospacing="0"/>
              <w:ind w:firstLine="720"/>
              <w:jc w:val="both"/>
            </w:pPr>
            <w:r>
              <w:t>Ievērojot minēto, lūdzam papildināt projekta 4. sadaļas ietvertās tabulas otrās ailes otro kolonnu (un citas atbilstošas projekta sadaļas) ar norādi, ka principa "atvērts pēc noklusējuma" ieviešanas gaitā tiks rūpīgi vērtēta nepieciešamība pēc fizisko personu personas datu publicēšanas Latvijas Atvērto datu portālā, kā arī riski, ko šādu datu publicēšana varētu radīt.</w:t>
            </w:r>
          </w:p>
        </w:tc>
        <w:tc>
          <w:tcPr>
            <w:tcW w:w="2126" w:type="dxa"/>
          </w:tcPr>
          <w:p w14:paraId="68EAA539" w14:textId="069BA7CF" w:rsidR="00323DD7" w:rsidRPr="00B9360D" w:rsidRDefault="00323DD7" w:rsidP="00060715">
            <w:pPr>
              <w:pStyle w:val="naisc"/>
              <w:spacing w:before="0" w:after="0"/>
              <w:rPr>
                <w:b/>
              </w:rPr>
            </w:pPr>
            <w:r w:rsidRPr="00B9360D">
              <w:rPr>
                <w:b/>
              </w:rPr>
              <w:lastRenderedPageBreak/>
              <w:t>Ņemts vērā</w:t>
            </w:r>
            <w:r w:rsidR="003046AA">
              <w:rPr>
                <w:b/>
              </w:rPr>
              <w:t>.</w:t>
            </w:r>
          </w:p>
        </w:tc>
        <w:tc>
          <w:tcPr>
            <w:tcW w:w="5103" w:type="dxa"/>
          </w:tcPr>
          <w:p w14:paraId="49E9A53E" w14:textId="38B2C794" w:rsidR="004F0B54" w:rsidRDefault="00E1011E" w:rsidP="00E16986">
            <w:r>
              <w:t>Precizēta ziņojuma</w:t>
            </w:r>
            <w:r w:rsidR="00E5063A" w:rsidRPr="00E5063A">
              <w:t xml:space="preserve"> 4. sadaļā ietvertās tabulas trešajā ail</w:t>
            </w:r>
            <w:r w:rsidR="004F0B54">
              <w:t>e</w:t>
            </w:r>
            <w:r w:rsidR="00F11719">
              <w:t xml:space="preserve">. </w:t>
            </w:r>
          </w:p>
          <w:p w14:paraId="192893DC" w14:textId="77777777" w:rsidR="00F11719" w:rsidRDefault="00F11719" w:rsidP="00E16986"/>
          <w:p w14:paraId="7045989F" w14:textId="6EDFC229" w:rsidR="00323DD7" w:rsidRPr="00F11719" w:rsidRDefault="004F0B54" w:rsidP="00922AB8">
            <w:pPr>
              <w:jc w:val="both"/>
              <w:rPr>
                <w:u w:val="single"/>
              </w:rPr>
            </w:pPr>
            <w:r w:rsidRPr="00F11719">
              <w:rPr>
                <w:u w:val="single"/>
              </w:rPr>
              <w:t>Rekomendācija:</w:t>
            </w:r>
          </w:p>
          <w:p w14:paraId="468D1D59" w14:textId="4B1F8E80" w:rsidR="00F11719" w:rsidRDefault="00F11719" w:rsidP="00922AB8">
            <w:pPr>
              <w:jc w:val="both"/>
            </w:pPr>
            <w:r>
              <w:t xml:space="preserve">“Atbilstoši principam ”atvērts pēc noklusējuma”  datu kopu iespējams publicēt Latvijas Atvērto datu portālā, ja tā nesatur personas datus vai satur anonimizētus datus. </w:t>
            </w:r>
          </w:p>
          <w:p w14:paraId="34CC4BF7" w14:textId="77777777" w:rsidR="004F0B54" w:rsidRDefault="00F11719" w:rsidP="00922AB8">
            <w:pPr>
              <w:jc w:val="both"/>
            </w:pPr>
            <w:r>
              <w:lastRenderedPageBreak/>
              <w:t>Veicot datu kopu plašākas atvēršanas iespēju  izvērtējumu, konstatēts, ka, lai publicētu datu kopu pilnā apjomā (iekļaujot personas datus) nepieciešams veikt grozījumus likumā “Par interešu konflikta novēšanu valsts amatpersonu darbībā”, vienlaikus ir jāizvērtē nepieciešamība pēc fizisko personu personas datu publicēšanas Latvijas Atvērto datu portālā, kā arī riski, ko šādu datu publicēšana varētu radīt.”</w:t>
            </w:r>
          </w:p>
          <w:p w14:paraId="1C33687C" w14:textId="77777777" w:rsidR="00F00F43" w:rsidRDefault="00F00F43" w:rsidP="00922AB8">
            <w:pPr>
              <w:jc w:val="both"/>
            </w:pPr>
          </w:p>
          <w:p w14:paraId="18AFB56D" w14:textId="77777777" w:rsidR="00F00F43" w:rsidRDefault="00F00F43" w:rsidP="00922AB8">
            <w:pPr>
              <w:jc w:val="both"/>
              <w:rPr>
                <w:u w:val="single"/>
              </w:rPr>
            </w:pPr>
            <w:r w:rsidRPr="00F00F43">
              <w:rPr>
                <w:u w:val="single"/>
              </w:rPr>
              <w:t>Atvēršanas statuss</w:t>
            </w:r>
            <w:r>
              <w:rPr>
                <w:u w:val="single"/>
              </w:rPr>
              <w:t>:</w:t>
            </w:r>
          </w:p>
          <w:p w14:paraId="0CD1667C" w14:textId="0F8AB2AD" w:rsidR="00F00F43" w:rsidRPr="00F00F43" w:rsidRDefault="00365EDA" w:rsidP="00922AB8">
            <w:pPr>
              <w:jc w:val="both"/>
              <w:rPr>
                <w:u w:val="single"/>
              </w:rPr>
            </w:pPr>
            <w:r>
              <w:t>“</w:t>
            </w:r>
            <w:r w:rsidR="00BF2F13">
              <w:t xml:space="preserve">Plānots publicēt līdz </w:t>
            </w:r>
            <w:r w:rsidR="004464E6">
              <w:t>3</w:t>
            </w:r>
            <w:r w:rsidR="00BF2F13" w:rsidRPr="007135BB">
              <w:t>1.</w:t>
            </w:r>
            <w:r w:rsidR="004464E6">
              <w:t>12</w:t>
            </w:r>
            <w:r w:rsidR="00BF2F13" w:rsidRPr="007135BB">
              <w:t>.2021. (bez personas datiem vai anonimizētā veidā)</w:t>
            </w:r>
            <w:r>
              <w:t>”</w:t>
            </w:r>
          </w:p>
        </w:tc>
      </w:tr>
      <w:tr w:rsidR="00E16986" w:rsidRPr="00712B66" w14:paraId="76590E82" w14:textId="77777777" w:rsidTr="00566C52">
        <w:trPr>
          <w:trHeight w:val="2039"/>
        </w:trPr>
        <w:tc>
          <w:tcPr>
            <w:tcW w:w="708" w:type="dxa"/>
          </w:tcPr>
          <w:p w14:paraId="5BF68F16" w14:textId="57DF6F46" w:rsidR="00E16986" w:rsidRDefault="00486D22" w:rsidP="00060715">
            <w:pPr>
              <w:jc w:val="center"/>
            </w:pPr>
            <w:r>
              <w:lastRenderedPageBreak/>
              <w:t>4.</w:t>
            </w:r>
          </w:p>
        </w:tc>
        <w:tc>
          <w:tcPr>
            <w:tcW w:w="2094" w:type="dxa"/>
          </w:tcPr>
          <w:p w14:paraId="1CDC152A" w14:textId="77777777" w:rsidR="00E16986" w:rsidRDefault="00E16986" w:rsidP="00060715">
            <w:pPr>
              <w:pStyle w:val="naisc"/>
              <w:spacing w:before="0" w:after="0"/>
              <w:ind w:firstLine="5"/>
              <w:jc w:val="left"/>
            </w:pPr>
          </w:p>
        </w:tc>
        <w:tc>
          <w:tcPr>
            <w:tcW w:w="4961" w:type="dxa"/>
          </w:tcPr>
          <w:p w14:paraId="42249B63" w14:textId="77777777" w:rsidR="00E16986" w:rsidRPr="00E16986" w:rsidRDefault="00E16986" w:rsidP="00E16986">
            <w:pPr>
              <w:pStyle w:val="NormalWeb"/>
              <w:widowControl w:val="0"/>
              <w:spacing w:after="120" w:afterAutospacing="0"/>
              <w:ind w:firstLine="720"/>
              <w:jc w:val="both"/>
            </w:pPr>
            <w:r>
              <w:t>3. Vēršam uzmanību</w:t>
            </w:r>
            <w:r>
              <w:rPr>
                <w:lang w:eastAsia="en-US"/>
              </w:rPr>
              <w:t>, ka Latvijas Administratīvo pārkāpumu kodekss zaudēja spēku līdz ar Administratīvās atbildības likuma stāšanos spēkā 2020. gada 1. jūlijā. Ievērojot minēto, lūdzam precizēt projekta 4. sadaļā ietvertās tabulas astotās ailes otro kolonnu.</w:t>
            </w:r>
          </w:p>
        </w:tc>
        <w:tc>
          <w:tcPr>
            <w:tcW w:w="2126" w:type="dxa"/>
          </w:tcPr>
          <w:p w14:paraId="116A0879" w14:textId="33CCC93B" w:rsidR="00E16986" w:rsidRPr="00B9360D" w:rsidRDefault="00642BC3" w:rsidP="00060715">
            <w:pPr>
              <w:pStyle w:val="naisc"/>
              <w:spacing w:before="0" w:after="0"/>
              <w:rPr>
                <w:b/>
              </w:rPr>
            </w:pPr>
            <w:r>
              <w:rPr>
                <w:b/>
              </w:rPr>
              <w:t>Ņemts vērā.</w:t>
            </w:r>
          </w:p>
        </w:tc>
        <w:tc>
          <w:tcPr>
            <w:tcW w:w="5103" w:type="dxa"/>
          </w:tcPr>
          <w:p w14:paraId="0DB2F108" w14:textId="746B03C4" w:rsidR="00E16986" w:rsidRDefault="00243B62" w:rsidP="00060715">
            <w:pPr>
              <w:jc w:val="center"/>
            </w:pPr>
            <w:r>
              <w:t>Precizēta projekta 4. sadaļ</w:t>
            </w:r>
            <w:r w:rsidR="00F82B90">
              <w:t>ā ietvertā tabula</w:t>
            </w:r>
            <w:r>
              <w:t>.</w:t>
            </w:r>
          </w:p>
          <w:p w14:paraId="6B74F49F" w14:textId="77777777" w:rsidR="00243B62" w:rsidRDefault="00243B62" w:rsidP="00060715">
            <w:pPr>
              <w:jc w:val="center"/>
            </w:pPr>
          </w:p>
          <w:p w14:paraId="2BD3C5D4" w14:textId="4B82E0EB" w:rsidR="000F1D59" w:rsidRPr="000F1D59" w:rsidRDefault="000F1D59" w:rsidP="000F1D59">
            <w:pPr>
              <w:jc w:val="both"/>
              <w:rPr>
                <w:rFonts w:eastAsia="Calibri"/>
                <w:lang w:val="lv"/>
              </w:rPr>
            </w:pPr>
            <w:r>
              <w:t>“</w:t>
            </w:r>
            <w:r>
              <w:rPr>
                <w:rFonts w:eastAsia="Calibri"/>
                <w:lang w:val="lv"/>
              </w:rPr>
              <w:t>...</w:t>
            </w:r>
            <w:r w:rsidRPr="00F5236D">
              <w:rPr>
                <w:rFonts w:eastAsia="Calibri"/>
                <w:lang w:val="lv"/>
              </w:rPr>
              <w:t xml:space="preserve">, izdalot tos pēc </w:t>
            </w:r>
            <w:r w:rsidRPr="00C7336E">
              <w:rPr>
                <w:rFonts w:eastAsia="Calibri"/>
                <w:lang w:val="lv"/>
              </w:rPr>
              <w:t xml:space="preserve">Administratīvās atbildības likuma </w:t>
            </w:r>
            <w:r w:rsidRPr="00F5236D">
              <w:rPr>
                <w:rFonts w:eastAsia="Calibri"/>
                <w:lang w:val="lv"/>
              </w:rPr>
              <w:t>pantiem.</w:t>
            </w:r>
            <w:r>
              <w:t>”</w:t>
            </w:r>
          </w:p>
        </w:tc>
      </w:tr>
      <w:tr w:rsidR="00E16986" w:rsidRPr="00712B66" w14:paraId="63B21B3C" w14:textId="77777777" w:rsidTr="00566C52">
        <w:tc>
          <w:tcPr>
            <w:tcW w:w="708" w:type="dxa"/>
          </w:tcPr>
          <w:p w14:paraId="518E8FC8" w14:textId="2D67100B" w:rsidR="00E16986" w:rsidRDefault="00486D22" w:rsidP="00060715">
            <w:pPr>
              <w:jc w:val="center"/>
            </w:pPr>
            <w:r>
              <w:t>5.</w:t>
            </w:r>
          </w:p>
        </w:tc>
        <w:tc>
          <w:tcPr>
            <w:tcW w:w="2094" w:type="dxa"/>
          </w:tcPr>
          <w:p w14:paraId="652EBD8D" w14:textId="77777777" w:rsidR="00E16986" w:rsidRDefault="00E16986" w:rsidP="00060715">
            <w:pPr>
              <w:pStyle w:val="naisc"/>
              <w:spacing w:before="0" w:after="0"/>
              <w:ind w:firstLine="5"/>
              <w:jc w:val="left"/>
            </w:pPr>
          </w:p>
        </w:tc>
        <w:tc>
          <w:tcPr>
            <w:tcW w:w="4961" w:type="dxa"/>
          </w:tcPr>
          <w:p w14:paraId="4D2AB884" w14:textId="77777777" w:rsidR="00E16986" w:rsidRDefault="00E16986" w:rsidP="00E16986">
            <w:pPr>
              <w:pStyle w:val="NormalWeb"/>
              <w:widowControl w:val="0"/>
              <w:spacing w:after="0" w:afterAutospacing="0"/>
              <w:ind w:firstLine="720"/>
              <w:jc w:val="both"/>
            </w:pPr>
            <w:r>
              <w:t xml:space="preserve">4. Projekta pielikumā ietvertās tabulas 7.-23. ailes trešajā kolonnā kā attiecīgo datu kopu atvēršanas termiņš norādīts 2021. gada 1. septembris. Informējam, ka Latvijas </w:t>
            </w:r>
            <w:r>
              <w:lastRenderedPageBreak/>
              <w:t>Republikas Uzņēmuma reģistra veiktā publiskā iepirkuma "Latvijas Republikas Uzņēmumu reģistra atvērto datu semantiskā modeļa un resursu identifikatoru vārtejas risinājuma izstrāde" (Nr. UR 2020/7) ietvaros iesniegtajā nodevumā konstatēti trūkumi, kā rezultātā ir ieilgusi pasūtīto darbu izpilde.</w:t>
            </w:r>
          </w:p>
          <w:p w14:paraId="7AF5882D" w14:textId="77777777" w:rsidR="00E16986" w:rsidRPr="00060715" w:rsidRDefault="00E16986" w:rsidP="00E16986">
            <w:pPr>
              <w:pStyle w:val="NormalWeb"/>
              <w:widowControl w:val="0"/>
              <w:spacing w:before="0" w:beforeAutospacing="0" w:after="120" w:afterAutospacing="0"/>
              <w:ind w:firstLine="720"/>
              <w:jc w:val="both"/>
              <w:rPr>
                <w:color w:val="002060"/>
                <w:u w:val="single"/>
                <w:lang w:eastAsia="en-US"/>
              </w:rPr>
            </w:pPr>
            <w:r>
              <w:t>Ievērojot minēto, lūdzam precizēt projekta pielikumā ietvertās tabulas 7.-23. ailes trešo kolonnu, kā attiecīgo datu kopu atvēršanas termiņu norādot 2021. gada 30. septembri.</w:t>
            </w:r>
          </w:p>
        </w:tc>
        <w:tc>
          <w:tcPr>
            <w:tcW w:w="2126" w:type="dxa"/>
          </w:tcPr>
          <w:p w14:paraId="38761997" w14:textId="3519E9E0" w:rsidR="00E16986" w:rsidRPr="00B9360D" w:rsidRDefault="00175945" w:rsidP="00060715">
            <w:pPr>
              <w:pStyle w:val="naisc"/>
              <w:spacing w:before="0" w:after="0"/>
              <w:rPr>
                <w:b/>
              </w:rPr>
            </w:pPr>
            <w:r>
              <w:rPr>
                <w:b/>
              </w:rPr>
              <w:lastRenderedPageBreak/>
              <w:t xml:space="preserve">Ņemts vērā. </w:t>
            </w:r>
          </w:p>
        </w:tc>
        <w:tc>
          <w:tcPr>
            <w:tcW w:w="5103" w:type="dxa"/>
          </w:tcPr>
          <w:p w14:paraId="25C0776B" w14:textId="702041F2" w:rsidR="00E16986" w:rsidRPr="00B9360D" w:rsidRDefault="00175945" w:rsidP="00060715">
            <w:pPr>
              <w:jc w:val="center"/>
            </w:pPr>
            <w:r>
              <w:t xml:space="preserve">Atbilstoši precizēts </w:t>
            </w:r>
            <w:r w:rsidR="00054A5D">
              <w:t>pielikums.</w:t>
            </w:r>
          </w:p>
        </w:tc>
      </w:tr>
      <w:tr w:rsidR="00E16986" w:rsidRPr="00712B66" w14:paraId="52B55CBE" w14:textId="77777777" w:rsidTr="008A32F6">
        <w:trPr>
          <w:trHeight w:val="5897"/>
        </w:trPr>
        <w:tc>
          <w:tcPr>
            <w:tcW w:w="708" w:type="dxa"/>
          </w:tcPr>
          <w:p w14:paraId="42CBC50F" w14:textId="3F889EA2" w:rsidR="00E16986" w:rsidRDefault="00486D22" w:rsidP="00060715">
            <w:pPr>
              <w:jc w:val="center"/>
            </w:pPr>
            <w:r>
              <w:t>6.</w:t>
            </w:r>
          </w:p>
        </w:tc>
        <w:tc>
          <w:tcPr>
            <w:tcW w:w="2094" w:type="dxa"/>
          </w:tcPr>
          <w:p w14:paraId="1E539862" w14:textId="77777777" w:rsidR="00E16986" w:rsidRDefault="00E16986" w:rsidP="00060715">
            <w:pPr>
              <w:pStyle w:val="naisc"/>
              <w:spacing w:before="0" w:after="0"/>
              <w:ind w:firstLine="5"/>
              <w:jc w:val="left"/>
            </w:pPr>
          </w:p>
        </w:tc>
        <w:tc>
          <w:tcPr>
            <w:tcW w:w="4961" w:type="dxa"/>
          </w:tcPr>
          <w:p w14:paraId="0809A978" w14:textId="77777777" w:rsidR="00593C22" w:rsidRDefault="00E16986" w:rsidP="00593C22">
            <w:pPr>
              <w:pStyle w:val="NormalWeb"/>
              <w:widowControl w:val="0"/>
              <w:spacing w:before="0" w:beforeAutospacing="0" w:after="0" w:afterAutospacing="0"/>
              <w:ind w:firstLine="720"/>
              <w:jc w:val="both"/>
            </w:pPr>
            <w:r>
              <w:t>5. Informējam, ka, lai nodrošinātu Valsts zemes dienesta pārziņā esošo datu kopu pieejamību Latvijas Atvērto datu portālā, sākotnēji nepieciešams veikt grozījumus normatīvajos aktos, jāsaņem valsts budžeta finansējums attiecīgo darbību veikšanai, kā arī jānoskaidro, vai datu publicēšanas nodrošināšanai ir nepieciešams veikt tehniskas izmaiņas Valsts zemes dienesta pārziņā esošajās informācijas sistēmās, kāds ir šādu izmaiņu ieviešanas termiņš un izmaksas, un tikai pēc tam ir iespējams veikt datu publicēšanu Latvijas Atvērto datu portālā.</w:t>
            </w:r>
          </w:p>
          <w:p w14:paraId="75B7071B" w14:textId="77777777" w:rsidR="00E16986" w:rsidRPr="00E16986" w:rsidRDefault="00E16986" w:rsidP="00593C22">
            <w:pPr>
              <w:pStyle w:val="NormalWeb"/>
              <w:widowControl w:val="0"/>
              <w:spacing w:before="0" w:beforeAutospacing="0" w:after="120" w:afterAutospacing="0"/>
              <w:ind w:firstLine="720"/>
              <w:jc w:val="both"/>
            </w:pPr>
            <w:r>
              <w:t>Ievērojot minēto, lūdzam precizēt  protokollēmuma projekta 5. punktu, norādot termiņu, līdz kuram iestādēm jānodrošina datu kopu pieejamība Latvijas Atvērto datu portālā, vai tiesību aktu, kurā šie termiņi tiks noteikti, vienlaikus norādot iestādi, kura ir atbildīga par šāda tiesību akta izstrādi.</w:t>
            </w:r>
          </w:p>
        </w:tc>
        <w:tc>
          <w:tcPr>
            <w:tcW w:w="2126" w:type="dxa"/>
          </w:tcPr>
          <w:p w14:paraId="09987E97" w14:textId="494EBEBC" w:rsidR="00E16986" w:rsidRPr="00B9360D" w:rsidRDefault="0005612D" w:rsidP="00060715">
            <w:pPr>
              <w:pStyle w:val="naisc"/>
              <w:spacing w:before="0" w:after="0"/>
              <w:rPr>
                <w:b/>
              </w:rPr>
            </w:pPr>
            <w:r>
              <w:rPr>
                <w:b/>
              </w:rPr>
              <w:t>Ņemts vērā.</w:t>
            </w:r>
          </w:p>
        </w:tc>
        <w:tc>
          <w:tcPr>
            <w:tcW w:w="5103" w:type="dxa"/>
          </w:tcPr>
          <w:p w14:paraId="2587D967" w14:textId="71C66856" w:rsidR="00922AB8" w:rsidRDefault="00AD0141" w:rsidP="00060715">
            <w:pPr>
              <w:jc w:val="center"/>
            </w:pPr>
            <w:r>
              <w:t>Precizēts protokollēmum</w:t>
            </w:r>
            <w:r w:rsidR="00922AB8">
              <w:t>a 5. punkts</w:t>
            </w:r>
            <w:r w:rsidR="00217247">
              <w:t xml:space="preserve">. </w:t>
            </w:r>
          </w:p>
          <w:p w14:paraId="639D99AF" w14:textId="77777777" w:rsidR="00922AB8" w:rsidRDefault="00922AB8" w:rsidP="00060715">
            <w:pPr>
              <w:jc w:val="center"/>
            </w:pPr>
          </w:p>
          <w:p w14:paraId="27F8875C" w14:textId="58CDDC43" w:rsidR="00753D37" w:rsidRDefault="00922AB8" w:rsidP="00753D37">
            <w:pPr>
              <w:jc w:val="both"/>
              <w:rPr>
                <w:rStyle w:val="spelle"/>
              </w:rPr>
            </w:pPr>
            <w:r>
              <w:t>Minētais p</w:t>
            </w:r>
            <w:r w:rsidR="00217247">
              <w:t>unkt</w:t>
            </w:r>
            <w:r w:rsidR="00621B61">
              <w:t xml:space="preserve">s paredz iestādēm iesniegt informāciju </w:t>
            </w:r>
            <w:r w:rsidR="00621B61">
              <w:rPr>
                <w:rStyle w:val="spelle"/>
              </w:rPr>
              <w:t>pēc</w:t>
            </w:r>
            <w:r w:rsidR="00621B61" w:rsidRPr="1229CBB8">
              <w:rPr>
                <w:rStyle w:val="spelle"/>
              </w:rPr>
              <w:t xml:space="preserve"> Vides aizsardzības un reģionālās attīstības ministrijas pieprasījuma</w:t>
            </w:r>
            <w:r w:rsidR="00753D37">
              <w:rPr>
                <w:rStyle w:val="spelle"/>
              </w:rPr>
              <w:t xml:space="preserve">, </w:t>
            </w:r>
            <w:r w:rsidR="00775EB6">
              <w:rPr>
                <w:rStyle w:val="spelle"/>
              </w:rPr>
              <w:t xml:space="preserve"> </w:t>
            </w:r>
            <w:r w:rsidR="009B2814">
              <w:rPr>
                <w:rStyle w:val="spelle"/>
              </w:rPr>
              <w:t>informācijā</w:t>
            </w:r>
            <w:r w:rsidR="00775EB6">
              <w:rPr>
                <w:rStyle w:val="spelle"/>
              </w:rPr>
              <w:t xml:space="preserve"> iekļaujot </w:t>
            </w:r>
            <w:r w:rsidR="00753D37">
              <w:rPr>
                <w:rStyle w:val="spelle"/>
              </w:rPr>
              <w:t>iespējamo datu kopu atvēršanas termiņu</w:t>
            </w:r>
            <w:r w:rsidR="009B2814">
              <w:rPr>
                <w:rStyle w:val="spelle"/>
              </w:rPr>
              <w:t xml:space="preserve"> (pēc iestādes vērtējuma)</w:t>
            </w:r>
            <w:r w:rsidR="00775EB6">
              <w:rPr>
                <w:rStyle w:val="spelle"/>
              </w:rPr>
              <w:t xml:space="preserve">, kā arī citu papildinformāciju. </w:t>
            </w:r>
          </w:p>
          <w:p w14:paraId="7C1410EB" w14:textId="77777777" w:rsidR="00753D37" w:rsidRDefault="00753D37" w:rsidP="00753D37">
            <w:pPr>
              <w:jc w:val="both"/>
              <w:rPr>
                <w:rStyle w:val="spelle"/>
              </w:rPr>
            </w:pPr>
          </w:p>
          <w:p w14:paraId="3A3D09FF" w14:textId="046D9C5B" w:rsidR="00E16986" w:rsidRPr="00B9360D" w:rsidRDefault="00AD0141" w:rsidP="00753D37">
            <w:pPr>
              <w:jc w:val="both"/>
            </w:pPr>
            <w:r>
              <w:rPr>
                <w:rStyle w:val="spelle"/>
              </w:rPr>
              <w:t>I</w:t>
            </w:r>
            <w:r w:rsidRPr="1229CBB8">
              <w:rPr>
                <w:rStyle w:val="spelle"/>
              </w:rPr>
              <w:t xml:space="preserve">estādēm iesniegt informāciju sarakstam </w:t>
            </w:r>
            <w:r>
              <w:rPr>
                <w:rStyle w:val="spelle"/>
              </w:rPr>
              <w:t>pēc</w:t>
            </w:r>
            <w:r w:rsidRPr="1229CBB8">
              <w:rPr>
                <w:rStyle w:val="spelle"/>
              </w:rPr>
              <w:t xml:space="preserve"> Vides aizsardzības un reģionālās attīstības ministrijas pieprasījuma</w:t>
            </w:r>
            <w:r>
              <w:rPr>
                <w:rStyle w:val="spelle"/>
              </w:rPr>
              <w:t xml:space="preserve"> un </w:t>
            </w:r>
            <w:r w:rsidRPr="00217247">
              <w:rPr>
                <w:rStyle w:val="spelle"/>
                <w:b/>
                <w:bCs/>
              </w:rPr>
              <w:t xml:space="preserve">iestādes </w:t>
            </w:r>
            <w:r>
              <w:rPr>
                <w:rStyle w:val="spelle"/>
              </w:rPr>
              <w:t>noteiktajos termiņos nodrošināt datu kopu pieejamību</w:t>
            </w:r>
            <w:r w:rsidRPr="00B440C0">
              <w:t xml:space="preserve"> </w:t>
            </w:r>
            <w:r w:rsidRPr="00B440C0">
              <w:rPr>
                <w:rStyle w:val="spelle"/>
              </w:rPr>
              <w:t>Latvijas Atvērto datu portālā</w:t>
            </w:r>
            <w:r w:rsidRPr="1229CBB8">
              <w:rPr>
                <w:rStyle w:val="spelle"/>
              </w:rPr>
              <w:t>.</w:t>
            </w:r>
          </w:p>
        </w:tc>
      </w:tr>
      <w:tr w:rsidR="00593C22" w:rsidRPr="00712B66" w14:paraId="1703DB0F" w14:textId="77777777" w:rsidTr="00F65D4C">
        <w:tc>
          <w:tcPr>
            <w:tcW w:w="14992" w:type="dxa"/>
            <w:gridSpan w:val="5"/>
            <w:shd w:val="clear" w:color="auto" w:fill="D9D9D9"/>
          </w:tcPr>
          <w:p w14:paraId="12B3CE73" w14:textId="77777777" w:rsidR="00593C22" w:rsidRPr="00593C22" w:rsidRDefault="00593C22" w:rsidP="00486D22">
            <w:pPr>
              <w:spacing w:after="60"/>
              <w:jc w:val="center"/>
              <w:rPr>
                <w:b/>
                <w:sz w:val="26"/>
                <w:szCs w:val="26"/>
              </w:rPr>
            </w:pPr>
            <w:r w:rsidRPr="00593C22">
              <w:rPr>
                <w:b/>
                <w:sz w:val="26"/>
                <w:szCs w:val="26"/>
              </w:rPr>
              <w:lastRenderedPageBreak/>
              <w:t>Iekšlietu ministrijas atzinums</w:t>
            </w:r>
          </w:p>
        </w:tc>
      </w:tr>
      <w:tr w:rsidR="00593C22" w:rsidRPr="00712B66" w14:paraId="46BC4B90" w14:textId="77777777" w:rsidTr="00566C52">
        <w:trPr>
          <w:trHeight w:val="53"/>
        </w:trPr>
        <w:tc>
          <w:tcPr>
            <w:tcW w:w="708" w:type="dxa"/>
          </w:tcPr>
          <w:p w14:paraId="09F79AA8" w14:textId="1D958BB9" w:rsidR="00593C22" w:rsidRDefault="00486D22" w:rsidP="00060715">
            <w:pPr>
              <w:jc w:val="center"/>
            </w:pPr>
            <w:r>
              <w:t>7.</w:t>
            </w:r>
          </w:p>
        </w:tc>
        <w:tc>
          <w:tcPr>
            <w:tcW w:w="2094" w:type="dxa"/>
          </w:tcPr>
          <w:p w14:paraId="7AF4C817" w14:textId="77777777" w:rsidR="00593C22" w:rsidRDefault="00593C22" w:rsidP="00060715">
            <w:pPr>
              <w:pStyle w:val="naisc"/>
              <w:spacing w:before="0" w:after="0"/>
              <w:ind w:firstLine="5"/>
              <w:jc w:val="left"/>
            </w:pPr>
          </w:p>
        </w:tc>
        <w:tc>
          <w:tcPr>
            <w:tcW w:w="4961" w:type="dxa"/>
          </w:tcPr>
          <w:p w14:paraId="1BAD08E1" w14:textId="77777777" w:rsidR="00593C22" w:rsidRPr="00DC72A3" w:rsidRDefault="00593C22" w:rsidP="00593C22">
            <w:pPr>
              <w:numPr>
                <w:ilvl w:val="0"/>
                <w:numId w:val="13"/>
              </w:numPr>
              <w:tabs>
                <w:tab w:val="left" w:pos="-1701"/>
              </w:tabs>
              <w:ind w:left="0" w:firstLine="709"/>
              <w:jc w:val="both"/>
              <w:rPr>
                <w:noProof/>
              </w:rPr>
            </w:pPr>
            <w:r w:rsidRPr="00DC72A3">
              <w:rPr>
                <w:noProof/>
              </w:rPr>
              <w:t>Informatīvā ziņojuma 6. sadaļas “Maksas pakalpojumi, kas nodrošina datu izsniegšanu elektroniskā veidā” tabulā “2021. gadā konstatētas augstvērtīgas datu kopas, kuras tiek uzturētas par ieņēmumiem no maksas pakalpojumu sniegšanas” ir norādītas Valsts zemes dienesta un Latvijas Vides, ģeoloģijas un meteoroloģijas centra izmaksas minētajā tabulā uzskaitītajām datu kopām. Vienlaikus Ministru kabineta sēdes protokollēmuma projekta 2. un 3. punkts paredz valsts budžeta finansējuma avotu Valsts zemes dienesta un Latvijas Vides, ģeoloģijas un meteoroloģijas centra esošajiem maksas pakalpojumiem, kas nodrošina vispārpieejamās informācijas (datu) izsniegšanu pārveidei uz atvērto datu publicēšanu. Lūdzam precizēt informatīvā ziņojuma 6. sadaļā norādīto informāciju, ka “par pārējām uzskaitītajām datu kopām ir jāveic papildu izpēte, lai precīzi noteiktu datu atvēršanas izmaksas, jo ieņēmumi no maksas pakalpojuma sniegšanas ne vienmēr detalizēti atspoguļo datu kopas uzturēšanas un atvēršanas izmaksas”, un nepieciešamības gadījumā arī Ministru kabineta sēdes protokollēmuma projektu, lai būtu skaidrs, vai datu atklātības nodrošināšanai izmaksu un finansējuma avotu noteikšana ir veicama visām iestādēm, kas uzskaitītas informatīvā ziņojuma pielikumā “Atvēršanai piemēroto datu kopu saraksts”.</w:t>
            </w:r>
          </w:p>
          <w:p w14:paraId="583A5037" w14:textId="4037C096" w:rsidR="008A32F6" w:rsidRPr="00DC72A3" w:rsidRDefault="008A32F6" w:rsidP="00593C22">
            <w:pPr>
              <w:ind w:firstLine="709"/>
              <w:jc w:val="both"/>
            </w:pPr>
          </w:p>
        </w:tc>
        <w:tc>
          <w:tcPr>
            <w:tcW w:w="2126" w:type="dxa"/>
          </w:tcPr>
          <w:p w14:paraId="50243BD3" w14:textId="4C5646DB" w:rsidR="00593C22" w:rsidRPr="00B9360D" w:rsidRDefault="001C6A9A" w:rsidP="00060715">
            <w:pPr>
              <w:pStyle w:val="naisc"/>
              <w:spacing w:before="0" w:after="0"/>
              <w:rPr>
                <w:b/>
              </w:rPr>
            </w:pPr>
            <w:r>
              <w:rPr>
                <w:b/>
              </w:rPr>
              <w:t>Ņemts vērā.</w:t>
            </w:r>
          </w:p>
        </w:tc>
        <w:tc>
          <w:tcPr>
            <w:tcW w:w="5103" w:type="dxa"/>
          </w:tcPr>
          <w:p w14:paraId="1316978C" w14:textId="3619E8B2" w:rsidR="00593C22" w:rsidRDefault="00CD2E4F" w:rsidP="00060715">
            <w:pPr>
              <w:jc w:val="center"/>
            </w:pPr>
            <w:r>
              <w:t>Precizēt</w:t>
            </w:r>
            <w:r w:rsidR="007C4131">
              <w:t>a ziņoj</w:t>
            </w:r>
            <w:r w:rsidR="001A48B2">
              <w:t>u</w:t>
            </w:r>
            <w:r w:rsidR="007C4131">
              <w:t xml:space="preserve">ma 6. sadaļa. </w:t>
            </w:r>
          </w:p>
          <w:p w14:paraId="4A3BF016" w14:textId="77777777" w:rsidR="007C4131" w:rsidRDefault="007C4131" w:rsidP="00060715">
            <w:pPr>
              <w:jc w:val="center"/>
            </w:pPr>
          </w:p>
          <w:p w14:paraId="1917F26F" w14:textId="3684ACF2" w:rsidR="007C4131" w:rsidRPr="00B9360D" w:rsidRDefault="001A48B2" w:rsidP="008F36F4">
            <w:pPr>
              <w:jc w:val="both"/>
            </w:pPr>
            <w:r>
              <w:t>“”</w:t>
            </w:r>
            <w:r w:rsidR="008F36F4" w:rsidRPr="00F5236D">
              <w:t>Par pārējām uzskaitītaj</w:t>
            </w:r>
            <w:r w:rsidR="008F36F4">
              <w:t>ā</w:t>
            </w:r>
            <w:r w:rsidR="008F36F4" w:rsidRPr="00F5236D">
              <w:t>m</w:t>
            </w:r>
            <w:r w:rsidR="008F36F4">
              <w:t xml:space="preserve"> </w:t>
            </w:r>
            <w:r w:rsidR="008F36F4" w:rsidRPr="008F36F4">
              <w:rPr>
                <w:u w:val="single"/>
              </w:rPr>
              <w:t>Valsts zemes dienesta un Latvijas Vides, ģeoloģijas un meteoroloģijas centra</w:t>
            </w:r>
            <w:r w:rsidR="008F36F4" w:rsidRPr="00F5236D">
              <w:t xml:space="preserve"> datu kopām ir jāveic papildu izpēte, lai precīzi noteiktu datu atvēršanas izmaksas, jo ieņēmumi no maksas pakalpojuma sniegšanas ne vienmēr detalizēti atspoguļo datu kopas uzturēšanas un atvēršanas izmaksas.</w:t>
            </w:r>
            <w:r>
              <w:t>”</w:t>
            </w:r>
          </w:p>
        </w:tc>
      </w:tr>
      <w:tr w:rsidR="00593C22" w:rsidRPr="00712B66" w14:paraId="04E6855E" w14:textId="77777777" w:rsidTr="00566C52">
        <w:tc>
          <w:tcPr>
            <w:tcW w:w="708" w:type="dxa"/>
          </w:tcPr>
          <w:p w14:paraId="40ABB8D7" w14:textId="5B03C20A" w:rsidR="00593C22" w:rsidRDefault="009735A5" w:rsidP="00060715">
            <w:pPr>
              <w:jc w:val="center"/>
            </w:pPr>
            <w:r>
              <w:lastRenderedPageBreak/>
              <w:t>8.</w:t>
            </w:r>
          </w:p>
        </w:tc>
        <w:tc>
          <w:tcPr>
            <w:tcW w:w="2094" w:type="dxa"/>
          </w:tcPr>
          <w:p w14:paraId="16DEEEAB" w14:textId="77777777" w:rsidR="00593C22" w:rsidRDefault="00593C22" w:rsidP="00060715">
            <w:pPr>
              <w:pStyle w:val="naisc"/>
              <w:spacing w:before="0" w:after="0"/>
              <w:ind w:firstLine="5"/>
              <w:jc w:val="left"/>
            </w:pPr>
          </w:p>
        </w:tc>
        <w:tc>
          <w:tcPr>
            <w:tcW w:w="4961" w:type="dxa"/>
          </w:tcPr>
          <w:p w14:paraId="0176D271" w14:textId="77777777" w:rsidR="00593C22" w:rsidRPr="00DC72A3" w:rsidRDefault="00593C22" w:rsidP="00593C22">
            <w:pPr>
              <w:numPr>
                <w:ilvl w:val="0"/>
                <w:numId w:val="13"/>
              </w:numPr>
              <w:tabs>
                <w:tab w:val="left" w:pos="-1701"/>
              </w:tabs>
              <w:ind w:left="0" w:firstLine="709"/>
              <w:jc w:val="both"/>
              <w:rPr>
                <w:noProof/>
              </w:rPr>
            </w:pPr>
            <w:r w:rsidRPr="00DC72A3">
              <w:rPr>
                <w:noProof/>
              </w:rPr>
              <w:t>Aizstāt informatīvā ziņojuma pielikuma 2. lappusē norādītajā Pilsonības un migrācijas lietu pārvaldes kompetencē esošajā datu kopā “Izsniegti personu apliecinoši dokumenti" vārdu ”(gadā)” ar vārdiem “(skaits/gadā)”.</w:t>
            </w:r>
          </w:p>
          <w:p w14:paraId="4673F4FE" w14:textId="77777777" w:rsidR="00593C22" w:rsidRPr="00DC72A3" w:rsidRDefault="00593C22" w:rsidP="00593C22">
            <w:pPr>
              <w:ind w:firstLine="709"/>
              <w:jc w:val="both"/>
              <w:rPr>
                <w:noProof/>
              </w:rPr>
            </w:pPr>
            <w:r w:rsidRPr="00DC72A3">
              <w:rPr>
                <w:noProof/>
              </w:rPr>
              <w:t>Pašlaik no informatīvā ziņojuma projektā ietvertās redakcijas var kļūdaini secināt, ka paredzēts sniegt informāciju par, piemēram, izsniegto personu apliecinošo dokumentu numuriem un citu informāciju.</w:t>
            </w:r>
          </w:p>
        </w:tc>
        <w:tc>
          <w:tcPr>
            <w:tcW w:w="2126" w:type="dxa"/>
          </w:tcPr>
          <w:p w14:paraId="698A9A1A" w14:textId="0857C8FC" w:rsidR="00593C22" w:rsidRPr="00B9360D" w:rsidRDefault="008F36F4" w:rsidP="00060715">
            <w:pPr>
              <w:pStyle w:val="naisc"/>
              <w:spacing w:before="0" w:after="0"/>
              <w:rPr>
                <w:b/>
              </w:rPr>
            </w:pPr>
            <w:r>
              <w:rPr>
                <w:b/>
              </w:rPr>
              <w:t>Ņemts vērā.</w:t>
            </w:r>
          </w:p>
        </w:tc>
        <w:tc>
          <w:tcPr>
            <w:tcW w:w="5103" w:type="dxa"/>
          </w:tcPr>
          <w:p w14:paraId="3D36F3C6" w14:textId="77777777" w:rsidR="00593C22" w:rsidRDefault="00706644" w:rsidP="00060715">
            <w:pPr>
              <w:jc w:val="center"/>
            </w:pPr>
            <w:r>
              <w:t xml:space="preserve">Precizēts pielikums. </w:t>
            </w:r>
          </w:p>
          <w:p w14:paraId="382B7023" w14:textId="77777777" w:rsidR="00706644" w:rsidRDefault="00706644" w:rsidP="00060715">
            <w:pPr>
              <w:jc w:val="center"/>
            </w:pPr>
          </w:p>
          <w:p w14:paraId="0546B6FC" w14:textId="6ECD936F" w:rsidR="00706644" w:rsidRPr="00B9360D" w:rsidRDefault="00706644" w:rsidP="00060715">
            <w:pPr>
              <w:jc w:val="center"/>
            </w:pPr>
            <w:r>
              <w:rPr>
                <w:bCs/>
              </w:rPr>
              <w:t>“</w:t>
            </w:r>
            <w:r w:rsidRPr="00F5236D">
              <w:rPr>
                <w:bCs/>
              </w:rPr>
              <w:t xml:space="preserve">Izsniegti personu apliecinoši dokumenti </w:t>
            </w:r>
            <w:r w:rsidRPr="00706644">
              <w:rPr>
                <w:bCs/>
                <w:u w:val="single"/>
              </w:rPr>
              <w:t>(skaits/gadā)</w:t>
            </w:r>
            <w:r w:rsidRPr="00706644">
              <w:rPr>
                <w:bCs/>
              </w:rPr>
              <w:t>”</w:t>
            </w:r>
          </w:p>
        </w:tc>
      </w:tr>
      <w:tr w:rsidR="00593C22" w:rsidRPr="00712B66" w14:paraId="79CDCEBC" w14:textId="77777777" w:rsidTr="00566C52">
        <w:tc>
          <w:tcPr>
            <w:tcW w:w="708" w:type="dxa"/>
          </w:tcPr>
          <w:p w14:paraId="1A9713E2" w14:textId="186667E2" w:rsidR="00593C22" w:rsidRDefault="006D583E" w:rsidP="00060715">
            <w:pPr>
              <w:jc w:val="center"/>
            </w:pPr>
            <w:r>
              <w:t>9</w:t>
            </w:r>
            <w:r w:rsidR="009735A5">
              <w:t>.</w:t>
            </w:r>
          </w:p>
        </w:tc>
        <w:tc>
          <w:tcPr>
            <w:tcW w:w="2094" w:type="dxa"/>
          </w:tcPr>
          <w:p w14:paraId="30E28970" w14:textId="77777777" w:rsidR="00593C22" w:rsidRDefault="00593C22" w:rsidP="00060715">
            <w:pPr>
              <w:pStyle w:val="naisc"/>
              <w:spacing w:before="0" w:after="0"/>
              <w:ind w:firstLine="5"/>
              <w:jc w:val="left"/>
            </w:pPr>
          </w:p>
        </w:tc>
        <w:tc>
          <w:tcPr>
            <w:tcW w:w="4961" w:type="dxa"/>
          </w:tcPr>
          <w:p w14:paraId="7DBF5A56" w14:textId="77777777" w:rsidR="00593C22" w:rsidRPr="00DC72A3" w:rsidRDefault="00593C22" w:rsidP="00593C22">
            <w:pPr>
              <w:numPr>
                <w:ilvl w:val="0"/>
                <w:numId w:val="13"/>
              </w:numPr>
              <w:tabs>
                <w:tab w:val="left" w:pos="-1701"/>
              </w:tabs>
              <w:ind w:left="0" w:firstLine="709"/>
              <w:jc w:val="both"/>
            </w:pPr>
            <w:r w:rsidRPr="00DC72A3">
              <w:t xml:space="preserve">Informatīvā ziņojuma 4. sadaļā noteikts, ka plānots atvērt datu kopas attiecībā uz valsts amatpersonu deklarācijām, taču nav paskaidrots, kāda veida datu kopas lietotājiem būs pieejamas. Iekšlietu ministrija vērš uzmanību, ka liela daļa nodarbināto, kuri strādā izmeklēšanas iestādēs un operatīvās darbības subjektos, ir valsts amatpersonas, uz kurām attiecas publicējamas amatpersonas deklarācijas aizpildīšana. Šobrīd valsts amatpersonu deklarācijas var neapkopotā veidā aplūkot vietnē </w:t>
            </w:r>
            <w:hyperlink r:id="rId11" w:history="1">
              <w:r w:rsidRPr="00DC72A3">
                <w:t>https://www6.vid.gov.lv/VAD</w:t>
              </w:r>
            </w:hyperlink>
            <w:r w:rsidRPr="00DC72A3">
              <w:t xml:space="preserve">, ievadot amatpersonas vārdu un uzvārdu. </w:t>
            </w:r>
          </w:p>
          <w:p w14:paraId="30F98E7A" w14:textId="77777777" w:rsidR="00593C22" w:rsidRPr="00DC72A3" w:rsidRDefault="00593C22" w:rsidP="00593C22">
            <w:pPr>
              <w:pStyle w:val="NoSpacing"/>
              <w:tabs>
                <w:tab w:val="left" w:pos="709"/>
              </w:tabs>
              <w:ind w:left="-108"/>
              <w:jc w:val="both"/>
              <w:rPr>
                <w:rFonts w:ascii="Times New Roman" w:hAnsi="Times New Roman"/>
                <w:sz w:val="24"/>
                <w:szCs w:val="24"/>
                <w:lang w:val="lv-LV"/>
              </w:rPr>
            </w:pPr>
            <w:r w:rsidRPr="00DC72A3">
              <w:rPr>
                <w:rFonts w:ascii="Times New Roman" w:hAnsi="Times New Roman"/>
                <w:sz w:val="24"/>
                <w:szCs w:val="24"/>
                <w:lang w:val="lv-LV"/>
              </w:rPr>
              <w:tab/>
              <w:t>Lai gan Iekšlietu ministrija apzinās demokrātiskas valsts principu ievērošanu amatpersonu deklarāciju publicēšanā, amatpersonu deklarāciju plašu pieejamību uzskata par neefektīvu kontroles mehānismu, kas atsevišķos gadījumos rada lieku negatīvu ietekmi uz valsts amatpersonas darbu.</w:t>
            </w:r>
          </w:p>
          <w:p w14:paraId="70DBB443" w14:textId="77777777" w:rsidR="00593C22" w:rsidRPr="00DC72A3" w:rsidRDefault="00593C22" w:rsidP="00593C22">
            <w:pPr>
              <w:pStyle w:val="NoSpacing"/>
              <w:tabs>
                <w:tab w:val="left" w:pos="709"/>
              </w:tabs>
              <w:ind w:left="-108"/>
              <w:jc w:val="both"/>
              <w:rPr>
                <w:rFonts w:ascii="Times New Roman" w:hAnsi="Times New Roman"/>
                <w:sz w:val="24"/>
                <w:szCs w:val="24"/>
                <w:lang w:val="lv-LV"/>
              </w:rPr>
            </w:pPr>
            <w:r w:rsidRPr="00DC72A3">
              <w:rPr>
                <w:rFonts w:ascii="Times New Roman" w:hAnsi="Times New Roman"/>
                <w:sz w:val="24"/>
                <w:szCs w:val="24"/>
                <w:lang w:val="lv-LV"/>
              </w:rPr>
              <w:tab/>
              <w:t xml:space="preserve">No informatīvā ziņojuma teksta nav skaidrs, kā izpaudīsies valsts amatpersonu </w:t>
            </w:r>
            <w:r w:rsidRPr="00DC72A3">
              <w:rPr>
                <w:rFonts w:ascii="Times New Roman" w:hAnsi="Times New Roman"/>
                <w:sz w:val="24"/>
                <w:szCs w:val="24"/>
                <w:lang w:val="lv-LV"/>
              </w:rPr>
              <w:lastRenderedPageBreak/>
              <w:t xml:space="preserve">deklarāciju datu kopu atvēršana – piemēram, kā konkrētas iestādes amatpersonu deklarāciju atlases iespēja, vai, piemēram, statistikas dati par amatpersonu deklarācijās ievadīto informāciju. </w:t>
            </w:r>
          </w:p>
          <w:p w14:paraId="379F554B" w14:textId="77777777" w:rsidR="00593C22" w:rsidRPr="00DC72A3" w:rsidRDefault="00593C22" w:rsidP="00593C22">
            <w:pPr>
              <w:pStyle w:val="NoSpacing"/>
              <w:tabs>
                <w:tab w:val="left" w:pos="709"/>
              </w:tabs>
              <w:ind w:left="-108"/>
              <w:jc w:val="both"/>
              <w:rPr>
                <w:rFonts w:ascii="Times New Roman" w:hAnsi="Times New Roman"/>
                <w:sz w:val="24"/>
                <w:szCs w:val="24"/>
                <w:lang w:val="lv-LV"/>
              </w:rPr>
            </w:pPr>
            <w:r w:rsidRPr="00DC72A3">
              <w:rPr>
                <w:rFonts w:ascii="Times New Roman" w:hAnsi="Times New Roman"/>
                <w:sz w:val="24"/>
                <w:szCs w:val="24"/>
                <w:lang w:val="lv-LV"/>
              </w:rPr>
              <w:tab/>
              <w:t>Aicinām nepieļaut iespēju izmeklēšanas iestāžu un operatīvās darbības subjektu identificējamu amatpersonu deklarācijas atlasīt apkopotā veidā, jo tas rada būtisku risku izmeklēšanas un operatīvās darbības interesēm. Attiecīgi aicinām papildināt informatīvā ziņojuma 4. sadaļu ar vispārīgu informāciju par to, kā izpaudīsies amatpersonu deklarāciju datu kopas atvēršana, ievērojot iepriekš paustos apsvērumus.</w:t>
            </w:r>
          </w:p>
          <w:p w14:paraId="3CA85199" w14:textId="43EEEBC6" w:rsidR="00DC72A3" w:rsidRPr="00DC72A3" w:rsidRDefault="00593C22" w:rsidP="00992406">
            <w:pPr>
              <w:pStyle w:val="NoSpacing"/>
              <w:tabs>
                <w:tab w:val="left" w:pos="709"/>
              </w:tabs>
              <w:spacing w:after="120"/>
              <w:ind w:left="-108"/>
              <w:jc w:val="both"/>
              <w:rPr>
                <w:rFonts w:ascii="Times New Roman" w:hAnsi="Times New Roman"/>
                <w:sz w:val="24"/>
                <w:szCs w:val="24"/>
                <w:lang w:val="lv-LV"/>
              </w:rPr>
            </w:pPr>
            <w:r w:rsidRPr="00DC72A3">
              <w:rPr>
                <w:rFonts w:ascii="Times New Roman" w:hAnsi="Times New Roman"/>
                <w:sz w:val="24"/>
                <w:szCs w:val="24"/>
                <w:lang w:val="lv-LV"/>
              </w:rPr>
              <w:tab/>
              <w:t>Līdzšinējā iestāžu prakse liecina, ka amatpersonu deklarāciju publicējamā sadaļā iekļautie dati nereti tiek izmantoti nevis amatpersonu darbības uzraudzības mērķim, bet gan ar nolūku publiskajā telpā pasniegt provokatīvas ziņas par amatpersonu, vai iegūt ziņas par amatpersonas privāto dzīvi (radiniekiem, īpašumu). Šādā situācijā sabiedrības pārstāvju plašas iespējas iepazīties ar informāciju par amatpersonas privāto dzīvi var radīt risku amatpersonas un tās radinieku drošībai (iespējamība izteikt draudus, vajāt). Attiecīgi ierosinām papildināt informatīvo ziņojumu, ka valsts amatpersonu datu kopas atvēršana veicama pēc grozījumiem likumā “Par interešu konflikta novēšanu valsts amatpersonu darbībā”, tostarp minētajā likumā vai attiecīgajos Ministru kabineta noteikumos paredzot autentifikācijas risinājumu (līdzīgi kā e-CSDD), lai mazinātu apdraudējuma risku amatpersonai un tās radiniekiem.</w:t>
            </w:r>
          </w:p>
        </w:tc>
        <w:tc>
          <w:tcPr>
            <w:tcW w:w="2126" w:type="dxa"/>
          </w:tcPr>
          <w:p w14:paraId="204F3BEB" w14:textId="4F482BA9" w:rsidR="00593C22" w:rsidRPr="00B9360D" w:rsidRDefault="00992406" w:rsidP="00060715">
            <w:pPr>
              <w:pStyle w:val="naisc"/>
              <w:spacing w:before="0" w:after="0"/>
              <w:rPr>
                <w:b/>
              </w:rPr>
            </w:pPr>
            <w:r>
              <w:rPr>
                <w:b/>
              </w:rPr>
              <w:lastRenderedPageBreak/>
              <w:t>Ņemts vērā.</w:t>
            </w:r>
          </w:p>
        </w:tc>
        <w:tc>
          <w:tcPr>
            <w:tcW w:w="5103" w:type="dxa"/>
          </w:tcPr>
          <w:p w14:paraId="1ABA57FA" w14:textId="4C15DB46" w:rsidR="008B2BF5" w:rsidRPr="00B9360D" w:rsidRDefault="00532B7A" w:rsidP="008B2BF5">
            <w:pPr>
              <w:jc w:val="center"/>
            </w:pPr>
            <w:r>
              <w:t xml:space="preserve">Precizēta ziņojuma 4. sadaļa. </w:t>
            </w:r>
            <w:r w:rsidR="008B2BF5">
              <w:t>(</w:t>
            </w:r>
            <w:r w:rsidR="00B81F1F">
              <w:t xml:space="preserve">skatāms </w:t>
            </w:r>
            <w:r w:rsidR="008B2BF5">
              <w:t xml:space="preserve">kontekstā ar </w:t>
            </w:r>
            <w:r w:rsidR="00B81F1F">
              <w:t>3. </w:t>
            </w:r>
            <w:r w:rsidR="008B2BF5">
              <w:t>iebildumu</w:t>
            </w:r>
            <w:r w:rsidR="00DF1FC3">
              <w:t xml:space="preserve"> </w:t>
            </w:r>
            <w:r w:rsidR="00B81F1F">
              <w:t>(Tieslietu ministrija)</w:t>
            </w:r>
            <w:r w:rsidR="008B2BF5">
              <w:t xml:space="preserve"> )</w:t>
            </w:r>
          </w:p>
        </w:tc>
      </w:tr>
      <w:tr w:rsidR="00593C22" w:rsidRPr="00712B66" w14:paraId="5969AFC5" w14:textId="77777777" w:rsidTr="00F65D4C">
        <w:tc>
          <w:tcPr>
            <w:tcW w:w="14992" w:type="dxa"/>
            <w:gridSpan w:val="5"/>
            <w:shd w:val="clear" w:color="auto" w:fill="D9D9D9"/>
          </w:tcPr>
          <w:p w14:paraId="6780F5FC" w14:textId="77777777" w:rsidR="00593C22" w:rsidRPr="00B9360D" w:rsidRDefault="00593C22" w:rsidP="00B81F1F">
            <w:pPr>
              <w:spacing w:after="60"/>
              <w:jc w:val="center"/>
            </w:pPr>
            <w:r w:rsidRPr="00DC72A3">
              <w:rPr>
                <w:b/>
                <w:sz w:val="26"/>
                <w:szCs w:val="26"/>
              </w:rPr>
              <w:lastRenderedPageBreak/>
              <w:t>Finanšu ministrijas</w:t>
            </w:r>
            <w:r w:rsidRPr="00B81F1F">
              <w:rPr>
                <w:b/>
                <w:sz w:val="26"/>
                <w:szCs w:val="26"/>
              </w:rPr>
              <w:t xml:space="preserve"> </w:t>
            </w:r>
            <w:r w:rsidR="00DC72A3" w:rsidRPr="00DC72A3">
              <w:rPr>
                <w:b/>
                <w:sz w:val="26"/>
                <w:szCs w:val="26"/>
              </w:rPr>
              <w:t>atzinums</w:t>
            </w:r>
          </w:p>
        </w:tc>
      </w:tr>
      <w:tr w:rsidR="00593C22" w:rsidRPr="00712B66" w14:paraId="701113BF" w14:textId="77777777" w:rsidTr="00566C52">
        <w:tc>
          <w:tcPr>
            <w:tcW w:w="708" w:type="dxa"/>
          </w:tcPr>
          <w:p w14:paraId="4688EFA2" w14:textId="51119F87" w:rsidR="00593C22" w:rsidRDefault="001316B7" w:rsidP="00060715">
            <w:pPr>
              <w:jc w:val="center"/>
            </w:pPr>
            <w:r>
              <w:t>10</w:t>
            </w:r>
            <w:r w:rsidR="009735A5">
              <w:t>.</w:t>
            </w:r>
          </w:p>
        </w:tc>
        <w:tc>
          <w:tcPr>
            <w:tcW w:w="2094" w:type="dxa"/>
          </w:tcPr>
          <w:p w14:paraId="0E5DF63E" w14:textId="77777777" w:rsidR="00593C22" w:rsidRDefault="00593C22" w:rsidP="00060715">
            <w:pPr>
              <w:pStyle w:val="naisc"/>
              <w:spacing w:before="0" w:after="0"/>
              <w:ind w:firstLine="5"/>
              <w:jc w:val="left"/>
            </w:pPr>
          </w:p>
        </w:tc>
        <w:tc>
          <w:tcPr>
            <w:tcW w:w="4961" w:type="dxa"/>
          </w:tcPr>
          <w:p w14:paraId="45BC5A93" w14:textId="77777777" w:rsidR="00593C22" w:rsidRPr="00DC72A3" w:rsidRDefault="00DC72A3" w:rsidP="00DC72A3">
            <w:pPr>
              <w:spacing w:after="120"/>
              <w:ind w:firstLine="680"/>
              <w:jc w:val="both"/>
              <w:rPr>
                <w:sz w:val="22"/>
              </w:rPr>
            </w:pPr>
            <w:r>
              <w:t xml:space="preserve">1. Lūdzam informatīvo ziņojumu papildināt ar informāciju par ieguvumiem, kādi tiks gūti no plānoto datu kopu atvēršanas, t.sk. sniedzot to novērtējumu </w:t>
            </w:r>
            <w:r>
              <w:rPr>
                <w:i/>
                <w:iCs/>
              </w:rPr>
              <w:t>euro</w:t>
            </w:r>
            <w:r>
              <w:t xml:space="preserve"> izteiksmē.</w:t>
            </w:r>
          </w:p>
        </w:tc>
        <w:tc>
          <w:tcPr>
            <w:tcW w:w="2126" w:type="dxa"/>
          </w:tcPr>
          <w:p w14:paraId="65EBA021" w14:textId="62F0EDC2" w:rsidR="00593C22" w:rsidRPr="00B9360D" w:rsidRDefault="005D7DCC" w:rsidP="00060715">
            <w:pPr>
              <w:pStyle w:val="naisc"/>
              <w:spacing w:before="0" w:after="0"/>
              <w:rPr>
                <w:b/>
              </w:rPr>
            </w:pPr>
            <w:r>
              <w:rPr>
                <w:b/>
              </w:rPr>
              <w:t>Ņ</w:t>
            </w:r>
            <w:r w:rsidR="00B81F1F">
              <w:rPr>
                <w:b/>
              </w:rPr>
              <w:t>emts vērā.</w:t>
            </w:r>
          </w:p>
        </w:tc>
        <w:tc>
          <w:tcPr>
            <w:tcW w:w="5103" w:type="dxa"/>
          </w:tcPr>
          <w:p w14:paraId="6EA1348B" w14:textId="77777777" w:rsidR="00C646BA" w:rsidRDefault="00C646BA" w:rsidP="00C646BA">
            <w:pPr>
              <w:jc w:val="center"/>
            </w:pPr>
            <w:r>
              <w:t xml:space="preserve">Precizēta ziņojuma 6. sadaļa. </w:t>
            </w:r>
          </w:p>
          <w:p w14:paraId="3969B0FB" w14:textId="77777777" w:rsidR="00C646BA" w:rsidRDefault="00C646BA" w:rsidP="00C646BA">
            <w:pPr>
              <w:jc w:val="center"/>
            </w:pPr>
          </w:p>
          <w:p w14:paraId="53A59938" w14:textId="5FE9871C" w:rsidR="00C646BA" w:rsidRDefault="00C646BA" w:rsidP="00C646BA">
            <w:pPr>
              <w:spacing w:after="120"/>
              <w:jc w:val="both"/>
            </w:pPr>
            <w:r>
              <w:t>“Minētās datu kopas ir iekļautas Direktīvas tvērumā un uzskatāmas par augstvērtīgām datu kopām, kuru atkalizmantošana ir saistīta ar svarīgiem ieguvumiem sabiedrībai, videi un ekonomikai, jo īpaši tādēļ, ka tie ir piemēroti, lai radītu pakalpojumus ar pievienoto vērtību, lietojumus un jaunas un pienācīgas augstas kvalitātes darbvietas, un pakalpojumu ar pievienoto vērtību un lietojumu, kas balstās uz minētajām datu kopām, potenciālo lietotāju skaita dēļ.</w:t>
            </w:r>
          </w:p>
          <w:p w14:paraId="12F3E5FE" w14:textId="77777777" w:rsidR="00C646BA" w:rsidRDefault="00C646BA" w:rsidP="00C646BA">
            <w:pPr>
              <w:spacing w:after="120"/>
              <w:jc w:val="both"/>
            </w:pPr>
            <w:r>
              <w:t>Daži no datu atvēršanas ieguvumiem ir samazināts administratīvais slogs, ātrāka pakalpojumu sniegšanu klientiem, plašākas pieejamības produkti un pakalpojumi. Kā piemēru datu atvēršanas ieguvumiem var minēt Ministru kabineta 2018. gada 6. februāra sēdē apstiprinātā informatīvā ziņojumā "Par Ministru kabineta 2017.gada 25.jūlija sēdes protokollēmumā (prot. Nr.37 1.§) "Noteikumu projekts "Latvijas Ģeotelpiskās informācijas aģentūras maksas pakalpojumu cenrādis un tā piemērošanas kārtība"" 3.punktā dotā uzdevuma izpildi" sniegto novērtējumu par ieguvumiem atverot datu kopu “Adresācijas objekti un administratīvās robežas”:</w:t>
            </w:r>
          </w:p>
          <w:p w14:paraId="31CB0349" w14:textId="77777777" w:rsidR="00C646BA" w:rsidRDefault="00C646BA" w:rsidP="00C646BA">
            <w:pPr>
              <w:spacing w:after="120"/>
              <w:jc w:val="both"/>
            </w:pPr>
            <w:r>
              <w:t>•</w:t>
            </w:r>
            <w:r>
              <w:tab/>
              <w:t>papildu pienesums valsts budžetam nodokļu veidā gadā varētu pieaugt par 48 843 EUR (avots: SIA “Karšu izdevniecība Jāņa Sēta”)</w:t>
            </w:r>
          </w:p>
          <w:p w14:paraId="5449E255" w14:textId="77777777" w:rsidR="00C646BA" w:rsidRDefault="00C646BA" w:rsidP="00C646BA">
            <w:pPr>
              <w:spacing w:after="120"/>
              <w:jc w:val="both"/>
            </w:pPr>
            <w:r>
              <w:t>•</w:t>
            </w:r>
            <w:r>
              <w:tab/>
              <w:t xml:space="preserve"> ietaupījums neiegādājoties ģeoproduktu, </w:t>
            </w:r>
            <w:r>
              <w:lastRenderedPageBreak/>
              <w:t>tā vietā izmantojot atvērtos datus  — apmēram 36 000 EUR gadā ieskaitīti valsts budžetā dividenžu veidā (avots: A/S Latvijas Valsts meži)</w:t>
            </w:r>
          </w:p>
          <w:p w14:paraId="317CB66A" w14:textId="77777777" w:rsidR="00C646BA" w:rsidRDefault="00C646BA" w:rsidP="00C646BA">
            <w:pPr>
              <w:spacing w:after="120"/>
              <w:jc w:val="both"/>
            </w:pPr>
            <w:r>
              <w:t>•</w:t>
            </w:r>
            <w:r>
              <w:tab/>
              <w:t>par apmēram 8 000 euro lētāki piedāvātie ģeoprodukti(avots: A/S Latvijas Valsts meži)</w:t>
            </w:r>
          </w:p>
          <w:p w14:paraId="186ECAB1" w14:textId="77777777" w:rsidR="00C646BA" w:rsidRDefault="00C646BA" w:rsidP="00C646BA">
            <w:pPr>
              <w:spacing w:after="120"/>
              <w:jc w:val="both"/>
            </w:pPr>
            <w:r>
              <w:t>•</w:t>
            </w:r>
            <w:r>
              <w:tab/>
              <w:t>radītas vismaz divas jaunas darba vietas, kas valsts budžetā nodokļu veidā ienesīs papildu apmēram 19 000 euro (avots: SIA “Mērniecības datu centrs”)</w:t>
            </w:r>
          </w:p>
          <w:p w14:paraId="1B6AECF4" w14:textId="0E213D92" w:rsidR="00E606D7" w:rsidRPr="00B9360D" w:rsidRDefault="00C646BA" w:rsidP="00C646BA">
            <w:pPr>
              <w:spacing w:after="120"/>
              <w:jc w:val="both"/>
            </w:pPr>
            <w:r>
              <w:t>u.c. ieguvumi.”</w:t>
            </w:r>
          </w:p>
        </w:tc>
      </w:tr>
      <w:tr w:rsidR="00DC72A3" w:rsidRPr="00712B66" w14:paraId="66D554B3" w14:textId="77777777" w:rsidTr="00566C52">
        <w:tc>
          <w:tcPr>
            <w:tcW w:w="708" w:type="dxa"/>
          </w:tcPr>
          <w:p w14:paraId="5A2F6EB0" w14:textId="0EF39CC7" w:rsidR="00DC72A3" w:rsidRDefault="00AD3E00" w:rsidP="00AD3E00">
            <w:pPr>
              <w:jc w:val="center"/>
            </w:pPr>
            <w:r>
              <w:lastRenderedPageBreak/>
              <w:t>11</w:t>
            </w:r>
            <w:r w:rsidR="009735A5">
              <w:t>.</w:t>
            </w:r>
          </w:p>
        </w:tc>
        <w:tc>
          <w:tcPr>
            <w:tcW w:w="2094" w:type="dxa"/>
          </w:tcPr>
          <w:p w14:paraId="68B629C8" w14:textId="77777777" w:rsidR="00DC72A3" w:rsidRDefault="00DC72A3" w:rsidP="00060715">
            <w:pPr>
              <w:pStyle w:val="naisc"/>
              <w:spacing w:before="0" w:after="0"/>
              <w:ind w:firstLine="5"/>
              <w:jc w:val="left"/>
            </w:pPr>
          </w:p>
        </w:tc>
        <w:tc>
          <w:tcPr>
            <w:tcW w:w="4961" w:type="dxa"/>
          </w:tcPr>
          <w:p w14:paraId="2F6DC150" w14:textId="77777777" w:rsidR="00DC72A3" w:rsidRPr="00DC72A3" w:rsidRDefault="00DC72A3" w:rsidP="00DC72A3">
            <w:pPr>
              <w:ind w:firstLine="720"/>
              <w:jc w:val="both"/>
              <w:rPr>
                <w:rFonts w:eastAsia="Calibri"/>
              </w:rPr>
            </w:pPr>
            <w:r>
              <w:t xml:space="preserve">2. </w:t>
            </w:r>
            <w:r w:rsidRPr="00DC72A3">
              <w:rPr>
                <w:rFonts w:eastAsia="Calibri"/>
              </w:rPr>
              <w:t xml:space="preserve">Saskaņā ar Ministru kabineta 2004.gada 3.augusta noteikumiem Nr.677 “Valsts kases nolikums” Valsts kases funkcijās ir valsts budžeta izpildes organizēšana, veicot maksājumus no valsts budžeta ieņēmumiem. Vēršam uzmanību, ka maksājumu datu īpašnieks ir nozaru ministrijas un valsts budžeta iestādes, nevis Valsts kase. Piekrītam, ka Valsts kase kā valsts budžeta izpildes maksājumu datu turētājs var publicēt atbilstošas datu kopas, bet, lai to darītu, atbilstoši Ziņojumā minētajam nepieciešams normatīvā akta regulējums par šajā datu kopā iekļaujamo informāciju un regularitāti. Tāpat ir svarīgi formulēt, ka informāciju par nozaru maksājumiem nepieciešamības gadījumā sniedz nozaru ministrijas, nevis Valsts kase. </w:t>
            </w:r>
          </w:p>
          <w:p w14:paraId="209DE3DE" w14:textId="77777777" w:rsidR="00DC72A3" w:rsidRPr="00DC72A3" w:rsidRDefault="00DC72A3" w:rsidP="00DC72A3">
            <w:pPr>
              <w:ind w:firstLine="720"/>
              <w:jc w:val="both"/>
              <w:rPr>
                <w:rFonts w:eastAsia="Calibri"/>
              </w:rPr>
            </w:pPr>
            <w:r w:rsidRPr="00DC72A3">
              <w:rPr>
                <w:rFonts w:eastAsia="Calibri"/>
              </w:rPr>
              <w:t xml:space="preserve">Atbilstoši Ministru kabineta 2011.gada 29.marta noteikumiem Nr.233 “Vides aizsardzības un reģionālās attīstības ministrijas nolikums” tā pārstāv šādas jomas - informācijas sabiedrība, elektroniskā pārvalde un valsts informācijas un komunikācijas tehnoloģiju </w:t>
            </w:r>
            <w:r w:rsidRPr="00DC72A3">
              <w:rPr>
                <w:rFonts w:eastAsia="Calibri"/>
              </w:rPr>
              <w:lastRenderedPageBreak/>
              <w:t xml:space="preserve">pārvaldība. Līdz ar to šāds normatīvais regulējums jāizstrādā VARAM sadarbībā ar nozaru ministrijām, iesaistot valsts drošības iestādes. Tiesību akts izstrādājams, pamatojoties uz Informācijas atklātības likumu. </w:t>
            </w:r>
          </w:p>
          <w:p w14:paraId="643B9243" w14:textId="77777777" w:rsidR="00DC72A3" w:rsidRPr="00DC72A3" w:rsidRDefault="00DC72A3" w:rsidP="00DC72A3">
            <w:pPr>
              <w:ind w:firstLine="720"/>
              <w:jc w:val="both"/>
              <w:rPr>
                <w:rFonts w:eastAsia="Calibri"/>
              </w:rPr>
            </w:pPr>
            <w:r w:rsidRPr="00DC72A3">
              <w:rPr>
                <w:rFonts w:eastAsia="Calibri"/>
              </w:rPr>
              <w:t>Pēc normatīvā regulējuma izstrādes Valsts kase veiks nepieciešamos pasākumus reglamentēto maksājuma datu publiskošanai.</w:t>
            </w:r>
          </w:p>
          <w:p w14:paraId="5C6713A4" w14:textId="77777777" w:rsidR="00DC72A3" w:rsidRPr="00DC72A3" w:rsidRDefault="00DC72A3" w:rsidP="00DC72A3">
            <w:pPr>
              <w:ind w:firstLine="720"/>
              <w:jc w:val="both"/>
              <w:rPr>
                <w:rFonts w:eastAsia="Calibri"/>
              </w:rPr>
            </w:pPr>
            <w:r w:rsidRPr="00DC72A3">
              <w:rPr>
                <w:rFonts w:eastAsia="Calibri"/>
              </w:rPr>
              <w:t>Ņemot vērā augstāk minēto:</w:t>
            </w:r>
          </w:p>
          <w:p w14:paraId="79696BB7" w14:textId="77777777" w:rsidR="00DC72A3" w:rsidRPr="00DC72A3" w:rsidRDefault="00DC72A3" w:rsidP="00DC72A3">
            <w:pPr>
              <w:ind w:firstLine="720"/>
              <w:jc w:val="both"/>
              <w:rPr>
                <w:rFonts w:eastAsia="Calibri"/>
              </w:rPr>
            </w:pPr>
            <w:r w:rsidRPr="00DC72A3">
              <w:rPr>
                <w:rFonts w:eastAsia="Calibri"/>
              </w:rPr>
              <w:t>1) lūdzam precizēt informatīvā ziņojuma 4.sadaļas “Atvērtās pārvaldības partnerības ietvaros identificēto datu kopu atvēršana” tabulas sadaļā “Valsts budžeta izdevumu maksājumi” noteikto “Atvēršanas statusu” no “31.12.2021.” uz – 12 mēnešu laikā pēc normatīvā akta stāšanās spēkā.</w:t>
            </w:r>
          </w:p>
          <w:p w14:paraId="5C565652" w14:textId="77777777" w:rsidR="00DC72A3" w:rsidRPr="00DC72A3" w:rsidRDefault="00DC72A3" w:rsidP="00DC72A3">
            <w:pPr>
              <w:spacing w:after="120"/>
              <w:ind w:firstLine="720"/>
              <w:jc w:val="both"/>
              <w:rPr>
                <w:rFonts w:eastAsia="Calibri"/>
              </w:rPr>
            </w:pPr>
            <w:r w:rsidRPr="00DC72A3">
              <w:rPr>
                <w:rFonts w:eastAsia="Calibri"/>
              </w:rPr>
              <w:t>2) papildināt protokollēmumu projektu ar uzdevumu – noteikt atbildīgo ministriju par normatīvā akta izstrādi.</w:t>
            </w:r>
          </w:p>
        </w:tc>
        <w:tc>
          <w:tcPr>
            <w:tcW w:w="2126" w:type="dxa"/>
          </w:tcPr>
          <w:p w14:paraId="773A77F4" w14:textId="149C1A23" w:rsidR="00DC72A3" w:rsidRPr="00B9360D" w:rsidRDefault="004A1657" w:rsidP="00060715">
            <w:pPr>
              <w:pStyle w:val="naisc"/>
              <w:spacing w:before="0" w:after="0"/>
              <w:rPr>
                <w:b/>
              </w:rPr>
            </w:pPr>
            <w:r>
              <w:rPr>
                <w:b/>
              </w:rPr>
              <w:lastRenderedPageBreak/>
              <w:t>Ņemts vērā.</w:t>
            </w:r>
          </w:p>
        </w:tc>
        <w:tc>
          <w:tcPr>
            <w:tcW w:w="5103" w:type="dxa"/>
          </w:tcPr>
          <w:p w14:paraId="74F891EF" w14:textId="7B0240B8" w:rsidR="00CB6FF2" w:rsidRDefault="00CB6FF2" w:rsidP="000304D6">
            <w:pPr>
              <w:spacing w:after="60"/>
              <w:jc w:val="both"/>
            </w:pPr>
            <w:r>
              <w:t xml:space="preserve">1. Atbilstoši precizēts </w:t>
            </w:r>
            <w:r w:rsidR="00B81873">
              <w:t>a</w:t>
            </w:r>
            <w:r w:rsidR="00B81873" w:rsidRPr="00DC72A3">
              <w:rPr>
                <w:rFonts w:eastAsia="Calibri"/>
              </w:rPr>
              <w:t>tvēršanas status</w:t>
            </w:r>
            <w:r w:rsidR="00B81873">
              <w:rPr>
                <w:rFonts w:eastAsia="Calibri"/>
              </w:rPr>
              <w:t>s</w:t>
            </w:r>
            <w:r>
              <w:t>.</w:t>
            </w:r>
          </w:p>
          <w:p w14:paraId="75ECF62F" w14:textId="5754F983" w:rsidR="00CB6FF2" w:rsidRDefault="00B81873" w:rsidP="00534F03">
            <w:pPr>
              <w:spacing w:after="60"/>
            </w:pPr>
            <w:r>
              <w:t xml:space="preserve">2. Protokollēmums papildināts ar </w:t>
            </w:r>
            <w:r w:rsidR="008E0CF9">
              <w:t xml:space="preserve">7. </w:t>
            </w:r>
            <w:r>
              <w:t>punktu:</w:t>
            </w:r>
          </w:p>
          <w:p w14:paraId="1918C8A0" w14:textId="3C2CA0B2" w:rsidR="006C0176" w:rsidRPr="00B9360D" w:rsidRDefault="00867681" w:rsidP="00867681">
            <w:pPr>
              <w:jc w:val="both"/>
            </w:pPr>
            <w:r>
              <w:t>“</w:t>
            </w:r>
            <w:r w:rsidR="00B27B86" w:rsidRPr="00B27B86">
              <w:t>Finanšu ministrijai līdz 2022. gada 1. martam iesniegt Ministru kabinetā priekšlikumus normatīvo aktu grozījumiem valsts budžeta maksājumu datu atvēršanai atbilstoši principam “atvērts pēc noklusējuma”.</w:t>
            </w:r>
            <w:r w:rsidR="00B27B86">
              <w:t>”</w:t>
            </w:r>
          </w:p>
        </w:tc>
      </w:tr>
      <w:tr w:rsidR="00DC72A3" w:rsidRPr="00712B66" w14:paraId="783E826E" w14:textId="77777777" w:rsidTr="00552E08">
        <w:tc>
          <w:tcPr>
            <w:tcW w:w="708" w:type="dxa"/>
            <w:tcBorders>
              <w:bottom w:val="single" w:sz="4" w:space="0" w:color="auto"/>
            </w:tcBorders>
          </w:tcPr>
          <w:p w14:paraId="211F482C" w14:textId="4433CB18" w:rsidR="00DC72A3" w:rsidRDefault="009735A5" w:rsidP="00060715">
            <w:pPr>
              <w:jc w:val="center"/>
            </w:pPr>
            <w:r>
              <w:t>1</w:t>
            </w:r>
            <w:r w:rsidR="00AD3E00">
              <w:t>2</w:t>
            </w:r>
            <w:r>
              <w:t>.</w:t>
            </w:r>
          </w:p>
        </w:tc>
        <w:tc>
          <w:tcPr>
            <w:tcW w:w="2094" w:type="dxa"/>
            <w:tcBorders>
              <w:bottom w:val="single" w:sz="4" w:space="0" w:color="auto"/>
            </w:tcBorders>
          </w:tcPr>
          <w:p w14:paraId="48207E1A" w14:textId="77777777" w:rsidR="00DC72A3" w:rsidRDefault="00DC72A3" w:rsidP="00060715">
            <w:pPr>
              <w:pStyle w:val="naisc"/>
              <w:spacing w:before="0" w:after="0"/>
              <w:ind w:firstLine="5"/>
              <w:jc w:val="left"/>
            </w:pPr>
          </w:p>
        </w:tc>
        <w:tc>
          <w:tcPr>
            <w:tcW w:w="4961" w:type="dxa"/>
            <w:tcBorders>
              <w:bottom w:val="single" w:sz="4" w:space="0" w:color="auto"/>
            </w:tcBorders>
          </w:tcPr>
          <w:p w14:paraId="2192752D" w14:textId="77777777" w:rsidR="00DC72A3" w:rsidRPr="00056739" w:rsidRDefault="00DC72A3" w:rsidP="00DC72A3">
            <w:pPr>
              <w:spacing w:after="120"/>
              <w:ind w:firstLine="720"/>
              <w:jc w:val="both"/>
              <w:rPr>
                <w:sz w:val="28"/>
                <w:szCs w:val="28"/>
              </w:rPr>
            </w:pPr>
            <w:r w:rsidRPr="00DC72A3">
              <w:rPr>
                <w:rFonts w:eastAsia="Calibri"/>
              </w:rPr>
              <w:t xml:space="preserve">3. Lūdzam 4.sadaļas “Atvērtās pārvaldības partnerības ietvaros identificēto datu kopu atvēršana” tabulas sadaļas “Valsts pārvaldes iestāžu budžeta izpildes informācija” trešo aili papildināt ar linku uz publicēto informāciju “Valsts budžeta izpilde pa iestādēm, budžeta programmām/apakšprogrammām un klasifikācijas kodiem”, norādot: </w:t>
            </w:r>
            <w:hyperlink r:id="rId12" w:history="1">
              <w:r w:rsidRPr="00DC72A3">
                <w:rPr>
                  <w:rStyle w:val="Hyperlink"/>
                  <w:rFonts w:eastAsia="Calibri"/>
                </w:rPr>
                <w:t>https://data.gov.lv/dati/lv/dataset/valsts-budzeta-izpilde-pa-iestadem-budzeta-programmam-apaksprogrammam-un-klasifikacijas-kodiem</w:t>
              </w:r>
            </w:hyperlink>
            <w:r w:rsidRPr="00DC72A3">
              <w:rPr>
                <w:rFonts w:eastAsia="Calibri"/>
              </w:rPr>
              <w:t xml:space="preserve">, pretējā gadījumā informatīvajā ziņojumā norādītā saite aptver tikai informāciju par </w:t>
            </w:r>
            <w:r w:rsidRPr="00DC72A3">
              <w:rPr>
                <w:rFonts w:eastAsia="Calibri"/>
              </w:rPr>
              <w:lastRenderedPageBreak/>
              <w:t>“Pašvaldību saistību apmēru”.</w:t>
            </w:r>
          </w:p>
        </w:tc>
        <w:tc>
          <w:tcPr>
            <w:tcW w:w="2126" w:type="dxa"/>
            <w:tcBorders>
              <w:bottom w:val="single" w:sz="4" w:space="0" w:color="auto"/>
            </w:tcBorders>
          </w:tcPr>
          <w:p w14:paraId="0AA60F00" w14:textId="4FBAC075" w:rsidR="00DC72A3" w:rsidRPr="00B9360D" w:rsidRDefault="005E22E0" w:rsidP="00060715">
            <w:pPr>
              <w:pStyle w:val="naisc"/>
              <w:spacing w:before="0" w:after="0"/>
              <w:rPr>
                <w:b/>
              </w:rPr>
            </w:pPr>
            <w:r>
              <w:rPr>
                <w:b/>
              </w:rPr>
              <w:lastRenderedPageBreak/>
              <w:t>Ņemts vērā.</w:t>
            </w:r>
          </w:p>
        </w:tc>
        <w:tc>
          <w:tcPr>
            <w:tcW w:w="5103" w:type="dxa"/>
            <w:tcBorders>
              <w:bottom w:val="single" w:sz="4" w:space="0" w:color="auto"/>
            </w:tcBorders>
          </w:tcPr>
          <w:p w14:paraId="1F9A29B3" w14:textId="48038BD3" w:rsidR="00DC72A3" w:rsidRPr="00B9360D" w:rsidRDefault="00534F03" w:rsidP="00F74636">
            <w:pPr>
              <w:jc w:val="center"/>
            </w:pPr>
            <w:r>
              <w:t>Atbilstoši papildināta ziņojuma 4. sadaļa.</w:t>
            </w:r>
          </w:p>
        </w:tc>
      </w:tr>
      <w:tr w:rsidR="00427366" w:rsidRPr="00712B66" w14:paraId="3EAA7C27" w14:textId="77777777" w:rsidTr="00552E08">
        <w:tc>
          <w:tcPr>
            <w:tcW w:w="708" w:type="dxa"/>
            <w:tcBorders>
              <w:bottom w:val="nil"/>
            </w:tcBorders>
          </w:tcPr>
          <w:p w14:paraId="070B1E63" w14:textId="47D7E812" w:rsidR="00427366" w:rsidRDefault="00427366" w:rsidP="00060715">
            <w:pPr>
              <w:jc w:val="center"/>
            </w:pPr>
            <w:r>
              <w:t>1</w:t>
            </w:r>
            <w:r w:rsidR="004029AD">
              <w:t>3</w:t>
            </w:r>
            <w:r>
              <w:t>.</w:t>
            </w:r>
          </w:p>
        </w:tc>
        <w:tc>
          <w:tcPr>
            <w:tcW w:w="2094" w:type="dxa"/>
            <w:tcBorders>
              <w:bottom w:val="nil"/>
            </w:tcBorders>
          </w:tcPr>
          <w:p w14:paraId="509974C3" w14:textId="77777777" w:rsidR="00427366" w:rsidRDefault="00427366" w:rsidP="00060715">
            <w:pPr>
              <w:pStyle w:val="naisc"/>
              <w:spacing w:before="0" w:after="0"/>
              <w:ind w:firstLine="5"/>
              <w:jc w:val="left"/>
            </w:pPr>
          </w:p>
        </w:tc>
        <w:tc>
          <w:tcPr>
            <w:tcW w:w="4961" w:type="dxa"/>
            <w:tcBorders>
              <w:bottom w:val="nil"/>
            </w:tcBorders>
          </w:tcPr>
          <w:p w14:paraId="2A212A8B" w14:textId="28AA7AE7" w:rsidR="00427366" w:rsidRDefault="00427366" w:rsidP="00DC72A3">
            <w:pPr>
              <w:ind w:firstLine="680"/>
            </w:pPr>
            <w:r>
              <w:t>4. Lūdzam precizēt informatīvā ziņojumā 6.sadaļā norādīto informāciju par papildu nepieciešamo finansējumu, t.sk., norādot tā sadalījumu pa gadiem, lai tā atbilstu VARAM ar 2021.gada 30.jūnija vēstuli Nr.1-132/6204 un Tieslietu ministrijas (turpmāk – TM) ar 2021.gada 30.jūnija vēstuli Nr.1-13.4/2910 iesniegtajiem prioritāro pasākumu pieteikumiem attiecībā uz datu kopu atvēršanu:</w:t>
            </w:r>
          </w:p>
        </w:tc>
        <w:tc>
          <w:tcPr>
            <w:tcW w:w="2126" w:type="dxa"/>
            <w:tcBorders>
              <w:bottom w:val="nil"/>
            </w:tcBorders>
          </w:tcPr>
          <w:p w14:paraId="5569D7D5" w14:textId="47E16284" w:rsidR="00427366" w:rsidRPr="00B9360D" w:rsidRDefault="002B53B6" w:rsidP="00060715">
            <w:pPr>
              <w:pStyle w:val="naisc"/>
              <w:spacing w:before="0" w:after="0"/>
              <w:rPr>
                <w:b/>
              </w:rPr>
            </w:pPr>
            <w:r>
              <w:rPr>
                <w:b/>
              </w:rPr>
              <w:t>Ņemts vērā.</w:t>
            </w:r>
          </w:p>
        </w:tc>
        <w:tc>
          <w:tcPr>
            <w:tcW w:w="5103" w:type="dxa"/>
            <w:tcBorders>
              <w:bottom w:val="nil"/>
            </w:tcBorders>
          </w:tcPr>
          <w:p w14:paraId="5889EF34" w14:textId="0957690B" w:rsidR="00427366" w:rsidRPr="00B9360D" w:rsidRDefault="00CD3AA0" w:rsidP="00060715">
            <w:pPr>
              <w:jc w:val="center"/>
            </w:pPr>
            <w:r>
              <w:t xml:space="preserve">Atbilstoši precizēta </w:t>
            </w:r>
            <w:r w:rsidR="00E31E54">
              <w:t xml:space="preserve">ziņojuma </w:t>
            </w:r>
            <w:r w:rsidR="00917B51">
              <w:t xml:space="preserve">6. sadaļa. </w:t>
            </w:r>
          </w:p>
        </w:tc>
      </w:tr>
      <w:tr w:rsidR="00552E08" w:rsidRPr="00712B66" w14:paraId="6DB207D2" w14:textId="77777777" w:rsidTr="002B53B6">
        <w:tc>
          <w:tcPr>
            <w:tcW w:w="708" w:type="dxa"/>
            <w:tcBorders>
              <w:top w:val="nil"/>
              <w:bottom w:val="nil"/>
            </w:tcBorders>
          </w:tcPr>
          <w:p w14:paraId="111E9DF7" w14:textId="640BA23F" w:rsidR="00552E08" w:rsidRDefault="00552E08" w:rsidP="00060715">
            <w:pPr>
              <w:jc w:val="center"/>
            </w:pPr>
          </w:p>
        </w:tc>
        <w:tc>
          <w:tcPr>
            <w:tcW w:w="2094" w:type="dxa"/>
            <w:tcBorders>
              <w:top w:val="nil"/>
              <w:bottom w:val="nil"/>
            </w:tcBorders>
          </w:tcPr>
          <w:p w14:paraId="5E9EC4B3" w14:textId="77777777" w:rsidR="00552E08" w:rsidRDefault="00552E08" w:rsidP="00060715">
            <w:pPr>
              <w:pStyle w:val="naisc"/>
              <w:spacing w:before="0" w:after="0"/>
              <w:ind w:firstLine="5"/>
              <w:jc w:val="left"/>
            </w:pPr>
          </w:p>
        </w:tc>
        <w:tc>
          <w:tcPr>
            <w:tcW w:w="12190" w:type="dxa"/>
            <w:gridSpan w:val="3"/>
            <w:tcBorders>
              <w:top w:val="nil"/>
              <w:bottom w:val="nil"/>
            </w:tcBorders>
          </w:tcPr>
          <w:tbl>
            <w:tblPr>
              <w:tblW w:w="10517" w:type="dxa"/>
              <w:tblLayout w:type="fixed"/>
              <w:tblCellMar>
                <w:left w:w="0" w:type="dxa"/>
                <w:right w:w="0" w:type="dxa"/>
              </w:tblCellMar>
              <w:tblLook w:val="04A0" w:firstRow="1" w:lastRow="0" w:firstColumn="1" w:lastColumn="0" w:noHBand="0" w:noVBand="1"/>
            </w:tblPr>
            <w:tblGrid>
              <w:gridCol w:w="1026"/>
              <w:gridCol w:w="4260"/>
              <w:gridCol w:w="1012"/>
              <w:gridCol w:w="1021"/>
              <w:gridCol w:w="971"/>
              <w:gridCol w:w="2227"/>
            </w:tblGrid>
            <w:tr w:rsidR="00552E08" w14:paraId="104B3B00" w14:textId="77777777" w:rsidTr="002B66A9">
              <w:trPr>
                <w:trHeight w:val="240"/>
              </w:trPr>
              <w:tc>
                <w:tcPr>
                  <w:tcW w:w="1026" w:type="dxa"/>
                  <w:vMerge w:val="restart"/>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791E3CA3" w14:textId="77777777" w:rsidR="00552E08" w:rsidRPr="00DC72A3" w:rsidRDefault="00552E08" w:rsidP="00DC72A3">
                  <w:pPr>
                    <w:jc w:val="center"/>
                    <w:rPr>
                      <w:rFonts w:eastAsia="Calibri"/>
                      <w:sz w:val="18"/>
                      <w:szCs w:val="18"/>
                    </w:rPr>
                  </w:pPr>
                  <w:bookmarkStart w:id="0" w:name="RANGE!A1:F4"/>
                  <w:r>
                    <w:rPr>
                      <w:sz w:val="18"/>
                      <w:szCs w:val="18"/>
                    </w:rPr>
                    <w:t>Prioritāra pasākuma kods</w:t>
                  </w:r>
                  <w:bookmarkEnd w:id="0"/>
                </w:p>
              </w:tc>
              <w:tc>
                <w:tcPr>
                  <w:tcW w:w="4260" w:type="dxa"/>
                  <w:vMerge w:val="restart"/>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18092770" w14:textId="77777777" w:rsidR="00552E08" w:rsidRDefault="00552E08" w:rsidP="00DC72A3">
                  <w:pPr>
                    <w:jc w:val="center"/>
                    <w:rPr>
                      <w:sz w:val="18"/>
                      <w:szCs w:val="18"/>
                    </w:rPr>
                  </w:pPr>
                  <w:r>
                    <w:rPr>
                      <w:color w:val="000000"/>
                      <w:sz w:val="18"/>
                      <w:szCs w:val="18"/>
                    </w:rPr>
                    <w:t>Prioritāra pasākuma nosaukums</w:t>
                  </w:r>
                </w:p>
              </w:tc>
              <w:tc>
                <w:tcPr>
                  <w:tcW w:w="5231" w:type="dxa"/>
                  <w:gridSpan w:val="4"/>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323AAEA8" w14:textId="77777777" w:rsidR="00552E08" w:rsidRDefault="00552E08" w:rsidP="00DC72A3">
                  <w:pPr>
                    <w:jc w:val="center"/>
                    <w:rPr>
                      <w:sz w:val="18"/>
                      <w:szCs w:val="18"/>
                    </w:rPr>
                  </w:pPr>
                  <w:r>
                    <w:rPr>
                      <w:color w:val="000000"/>
                      <w:sz w:val="18"/>
                      <w:szCs w:val="18"/>
                    </w:rPr>
                    <w:t xml:space="preserve">Papildus nepieciešamais valsts budžeta finansējums, </w:t>
                  </w:r>
                  <w:r>
                    <w:rPr>
                      <w:i/>
                      <w:iCs/>
                      <w:color w:val="000000"/>
                      <w:sz w:val="18"/>
                      <w:szCs w:val="18"/>
                    </w:rPr>
                    <w:t>euro</w:t>
                  </w:r>
                  <w:r>
                    <w:rPr>
                      <w:color w:val="000000"/>
                      <w:sz w:val="18"/>
                      <w:szCs w:val="18"/>
                    </w:rPr>
                    <w:t xml:space="preserve"> </w:t>
                  </w:r>
                </w:p>
              </w:tc>
            </w:tr>
            <w:tr w:rsidR="00552E08" w14:paraId="39DD2520" w14:textId="77777777" w:rsidTr="002B66A9">
              <w:trPr>
                <w:trHeight w:val="853"/>
              </w:trPr>
              <w:tc>
                <w:tcPr>
                  <w:tcW w:w="1026" w:type="dxa"/>
                  <w:vMerge/>
                  <w:tcBorders>
                    <w:top w:val="single" w:sz="8" w:space="0" w:color="auto"/>
                    <w:left w:val="single" w:sz="8" w:space="0" w:color="auto"/>
                    <w:bottom w:val="single" w:sz="8" w:space="0" w:color="auto"/>
                    <w:right w:val="single" w:sz="8" w:space="0" w:color="auto"/>
                  </w:tcBorders>
                  <w:vAlign w:val="center"/>
                  <w:hideMark/>
                </w:tcPr>
                <w:p w14:paraId="31232BEB" w14:textId="77777777" w:rsidR="00552E08" w:rsidRPr="00DC72A3" w:rsidRDefault="00552E08" w:rsidP="00DC72A3">
                  <w:pPr>
                    <w:rPr>
                      <w:rFonts w:eastAsia="Calibri"/>
                      <w:sz w:val="18"/>
                      <w:szCs w:val="18"/>
                    </w:rPr>
                  </w:pPr>
                </w:p>
              </w:tc>
              <w:tc>
                <w:tcPr>
                  <w:tcW w:w="4260" w:type="dxa"/>
                  <w:vMerge/>
                  <w:tcBorders>
                    <w:top w:val="single" w:sz="8" w:space="0" w:color="auto"/>
                    <w:left w:val="nil"/>
                    <w:bottom w:val="single" w:sz="8" w:space="0" w:color="auto"/>
                    <w:right w:val="single" w:sz="8" w:space="0" w:color="auto"/>
                  </w:tcBorders>
                  <w:vAlign w:val="center"/>
                  <w:hideMark/>
                </w:tcPr>
                <w:p w14:paraId="2D58A3B3" w14:textId="77777777" w:rsidR="00552E08" w:rsidRPr="00DC72A3" w:rsidRDefault="00552E08" w:rsidP="00DC72A3">
                  <w:pPr>
                    <w:rPr>
                      <w:rFonts w:eastAsia="Calibri"/>
                      <w:sz w:val="18"/>
                      <w:szCs w:val="18"/>
                    </w:rPr>
                  </w:pPr>
                </w:p>
              </w:tc>
              <w:tc>
                <w:tcPr>
                  <w:tcW w:w="1012" w:type="dxa"/>
                  <w:tcBorders>
                    <w:top w:val="nil"/>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3C8CCEE3" w14:textId="77777777" w:rsidR="00552E08" w:rsidRDefault="00552E08" w:rsidP="00DC72A3">
                  <w:pPr>
                    <w:jc w:val="center"/>
                    <w:rPr>
                      <w:sz w:val="18"/>
                      <w:szCs w:val="18"/>
                    </w:rPr>
                  </w:pPr>
                  <w:r>
                    <w:rPr>
                      <w:color w:val="000000"/>
                      <w:sz w:val="18"/>
                      <w:szCs w:val="18"/>
                    </w:rPr>
                    <w:t>2022. gadam</w:t>
                  </w:r>
                </w:p>
              </w:tc>
              <w:tc>
                <w:tcPr>
                  <w:tcW w:w="1021" w:type="dxa"/>
                  <w:tcBorders>
                    <w:top w:val="nil"/>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00E9B189" w14:textId="77777777" w:rsidR="00552E08" w:rsidRDefault="00552E08" w:rsidP="00DC72A3">
                  <w:pPr>
                    <w:jc w:val="center"/>
                    <w:rPr>
                      <w:sz w:val="18"/>
                      <w:szCs w:val="18"/>
                    </w:rPr>
                  </w:pPr>
                  <w:r>
                    <w:rPr>
                      <w:color w:val="000000"/>
                      <w:sz w:val="18"/>
                      <w:szCs w:val="18"/>
                    </w:rPr>
                    <w:t>2023. gadam</w:t>
                  </w:r>
                </w:p>
              </w:tc>
              <w:tc>
                <w:tcPr>
                  <w:tcW w:w="971" w:type="dxa"/>
                  <w:tcBorders>
                    <w:top w:val="nil"/>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204C8ACC" w14:textId="77777777" w:rsidR="00552E08" w:rsidRDefault="00552E08" w:rsidP="00DC72A3">
                  <w:pPr>
                    <w:jc w:val="center"/>
                    <w:rPr>
                      <w:sz w:val="18"/>
                      <w:szCs w:val="18"/>
                    </w:rPr>
                  </w:pPr>
                  <w:r>
                    <w:rPr>
                      <w:color w:val="000000"/>
                      <w:sz w:val="18"/>
                      <w:szCs w:val="18"/>
                    </w:rPr>
                    <w:t>2024. gadam</w:t>
                  </w:r>
                </w:p>
              </w:tc>
              <w:tc>
                <w:tcPr>
                  <w:tcW w:w="2227" w:type="dxa"/>
                  <w:tcBorders>
                    <w:top w:val="nil"/>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3375662A" w14:textId="77777777" w:rsidR="00552E08" w:rsidRDefault="00552E08" w:rsidP="00DC72A3">
                  <w:pPr>
                    <w:jc w:val="center"/>
                    <w:rPr>
                      <w:sz w:val="18"/>
                      <w:szCs w:val="18"/>
                    </w:rPr>
                  </w:pPr>
                  <w:r>
                    <w:rPr>
                      <w:color w:val="000000"/>
                      <w:sz w:val="18"/>
                      <w:szCs w:val="18"/>
                    </w:rPr>
                    <w:t xml:space="preserve">turpmāk katru gadu </w:t>
                  </w:r>
                  <w:r>
                    <w:rPr>
                      <w:color w:val="000000"/>
                      <w:sz w:val="18"/>
                      <w:szCs w:val="18"/>
                    </w:rPr>
                    <w:br/>
                    <w:t>(</w:t>
                  </w:r>
                  <w:r>
                    <w:rPr>
                      <w:i/>
                      <w:iCs/>
                      <w:color w:val="000000"/>
                      <w:sz w:val="18"/>
                      <w:szCs w:val="18"/>
                    </w:rPr>
                    <w:t>ja pasākums nav terminēts</w:t>
                  </w:r>
                  <w:r>
                    <w:rPr>
                      <w:color w:val="000000"/>
                      <w:sz w:val="18"/>
                      <w:szCs w:val="18"/>
                    </w:rPr>
                    <w:t>)</w:t>
                  </w:r>
                </w:p>
              </w:tc>
            </w:tr>
            <w:tr w:rsidR="00552E08" w14:paraId="5995FBDB" w14:textId="77777777" w:rsidTr="002B66A9">
              <w:trPr>
                <w:trHeight w:val="240"/>
              </w:trPr>
              <w:tc>
                <w:tcPr>
                  <w:tcW w:w="10517" w:type="dxa"/>
                  <w:gridSpan w:val="6"/>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vAlign w:val="center"/>
                  <w:hideMark/>
                </w:tcPr>
                <w:p w14:paraId="73E5FFDF" w14:textId="77777777" w:rsidR="00552E08" w:rsidRDefault="00552E08" w:rsidP="00DC72A3">
                  <w:pPr>
                    <w:rPr>
                      <w:sz w:val="18"/>
                      <w:szCs w:val="18"/>
                    </w:rPr>
                  </w:pPr>
                  <w:r>
                    <w:rPr>
                      <w:color w:val="000000"/>
                      <w:sz w:val="18"/>
                      <w:szCs w:val="18"/>
                    </w:rPr>
                    <w:t>VARAM</w:t>
                  </w:r>
                </w:p>
              </w:tc>
            </w:tr>
            <w:tr w:rsidR="00552E08" w14:paraId="0C4B5312" w14:textId="77777777" w:rsidTr="002B66A9">
              <w:trPr>
                <w:trHeight w:val="559"/>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BE57C" w14:textId="77777777" w:rsidR="00552E08" w:rsidRDefault="00552E08" w:rsidP="00DC72A3">
                  <w:pPr>
                    <w:rPr>
                      <w:sz w:val="18"/>
                      <w:szCs w:val="18"/>
                    </w:rPr>
                  </w:pPr>
                  <w:r>
                    <w:rPr>
                      <w:sz w:val="18"/>
                      <w:szCs w:val="18"/>
                    </w:rPr>
                    <w:t>21_07_P</w:t>
                  </w:r>
                </w:p>
              </w:tc>
              <w:tc>
                <w:tcPr>
                  <w:tcW w:w="4260" w:type="dxa"/>
                  <w:tcBorders>
                    <w:top w:val="nil"/>
                    <w:left w:val="nil"/>
                    <w:bottom w:val="single" w:sz="8" w:space="0" w:color="auto"/>
                    <w:right w:val="single" w:sz="8" w:space="0" w:color="auto"/>
                  </w:tcBorders>
                  <w:tcMar>
                    <w:top w:w="0" w:type="dxa"/>
                    <w:left w:w="108" w:type="dxa"/>
                    <w:bottom w:w="0" w:type="dxa"/>
                    <w:right w:w="108" w:type="dxa"/>
                  </w:tcMar>
                  <w:hideMark/>
                </w:tcPr>
                <w:p w14:paraId="19CFB997" w14:textId="77777777" w:rsidR="00552E08" w:rsidRDefault="00552E08" w:rsidP="00DC72A3">
                  <w:pPr>
                    <w:rPr>
                      <w:sz w:val="18"/>
                      <w:szCs w:val="18"/>
                    </w:rPr>
                  </w:pPr>
                  <w:r>
                    <w:rPr>
                      <w:sz w:val="18"/>
                      <w:szCs w:val="18"/>
                    </w:rPr>
                    <w:t>Nodrošināt augstvērtīgu vides un meteroloģijas atvērto datu publicēšanu Direktīvas (ES) 2019/1024 par atvērtajiem datiem un publiskā sektora informācijas atkalizmantošanu ietvarā</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14:paraId="510F8CC7" w14:textId="77777777" w:rsidR="00552E08" w:rsidRDefault="00552E08" w:rsidP="00DC72A3">
                  <w:pPr>
                    <w:jc w:val="right"/>
                    <w:rPr>
                      <w:sz w:val="20"/>
                    </w:rPr>
                  </w:pPr>
                  <w:r>
                    <w:rPr>
                      <w:sz w:val="20"/>
                    </w:rPr>
                    <w:t>450 000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14:paraId="5C988D9A" w14:textId="77777777" w:rsidR="00552E08" w:rsidRDefault="00552E08" w:rsidP="00DC72A3">
                  <w:pPr>
                    <w:jc w:val="right"/>
                    <w:rPr>
                      <w:sz w:val="20"/>
                    </w:rPr>
                  </w:pPr>
                  <w:r>
                    <w:rPr>
                      <w:sz w:val="20"/>
                    </w:rPr>
                    <w:t>450 000</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14:paraId="637D2895" w14:textId="77777777" w:rsidR="00552E08" w:rsidRDefault="00552E08" w:rsidP="00DC72A3">
                  <w:pPr>
                    <w:jc w:val="right"/>
                    <w:rPr>
                      <w:sz w:val="20"/>
                    </w:rPr>
                  </w:pPr>
                  <w:r>
                    <w:rPr>
                      <w:sz w:val="20"/>
                    </w:rPr>
                    <w:t>450 000</w:t>
                  </w:r>
                </w:p>
              </w:tc>
              <w:tc>
                <w:tcPr>
                  <w:tcW w:w="2227" w:type="dxa"/>
                  <w:tcBorders>
                    <w:top w:val="nil"/>
                    <w:left w:val="nil"/>
                    <w:bottom w:val="single" w:sz="8" w:space="0" w:color="auto"/>
                    <w:right w:val="single" w:sz="8" w:space="0" w:color="auto"/>
                  </w:tcBorders>
                  <w:tcMar>
                    <w:top w:w="0" w:type="dxa"/>
                    <w:left w:w="108" w:type="dxa"/>
                    <w:bottom w:w="0" w:type="dxa"/>
                    <w:right w:w="108" w:type="dxa"/>
                  </w:tcMar>
                  <w:hideMark/>
                </w:tcPr>
                <w:p w14:paraId="538ABB96" w14:textId="77777777" w:rsidR="00552E08" w:rsidRDefault="00552E08" w:rsidP="00DC72A3">
                  <w:pPr>
                    <w:jc w:val="right"/>
                    <w:rPr>
                      <w:sz w:val="20"/>
                    </w:rPr>
                  </w:pPr>
                  <w:r>
                    <w:rPr>
                      <w:sz w:val="20"/>
                    </w:rPr>
                    <w:t>450 000</w:t>
                  </w:r>
                </w:p>
              </w:tc>
            </w:tr>
            <w:tr w:rsidR="00552E08" w14:paraId="68D008A6" w14:textId="77777777" w:rsidTr="002B66A9">
              <w:trPr>
                <w:trHeight w:val="240"/>
              </w:trPr>
              <w:tc>
                <w:tcPr>
                  <w:tcW w:w="10517" w:type="dxa"/>
                  <w:gridSpan w:val="6"/>
                  <w:tcBorders>
                    <w:top w:val="nil"/>
                    <w:left w:val="single" w:sz="8" w:space="0" w:color="auto"/>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40BE8A65" w14:textId="77777777" w:rsidR="00552E08" w:rsidRDefault="00552E08" w:rsidP="00DC72A3">
                  <w:pPr>
                    <w:rPr>
                      <w:sz w:val="20"/>
                    </w:rPr>
                  </w:pPr>
                  <w:r>
                    <w:rPr>
                      <w:color w:val="000000"/>
                      <w:sz w:val="20"/>
                    </w:rPr>
                    <w:t>TM</w:t>
                  </w:r>
                </w:p>
              </w:tc>
            </w:tr>
            <w:tr w:rsidR="00552E08" w14:paraId="1A8D6918" w14:textId="77777777" w:rsidTr="002B66A9">
              <w:trPr>
                <w:trHeight w:val="426"/>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8BED8" w14:textId="77777777" w:rsidR="00552E08" w:rsidRDefault="00552E08" w:rsidP="00DC72A3">
                  <w:pPr>
                    <w:rPr>
                      <w:sz w:val="18"/>
                      <w:szCs w:val="18"/>
                    </w:rPr>
                  </w:pPr>
                  <w:r>
                    <w:rPr>
                      <w:sz w:val="18"/>
                      <w:szCs w:val="18"/>
                    </w:rPr>
                    <w:t>19_04_P</w:t>
                  </w:r>
                </w:p>
              </w:tc>
              <w:tc>
                <w:tcPr>
                  <w:tcW w:w="4260" w:type="dxa"/>
                  <w:tcBorders>
                    <w:top w:val="nil"/>
                    <w:left w:val="nil"/>
                    <w:bottom w:val="single" w:sz="8" w:space="0" w:color="auto"/>
                    <w:right w:val="single" w:sz="8" w:space="0" w:color="auto"/>
                  </w:tcBorders>
                  <w:tcMar>
                    <w:top w:w="0" w:type="dxa"/>
                    <w:left w:w="108" w:type="dxa"/>
                    <w:bottom w:w="0" w:type="dxa"/>
                    <w:right w:w="108" w:type="dxa"/>
                  </w:tcMar>
                  <w:hideMark/>
                </w:tcPr>
                <w:p w14:paraId="6EEE2594" w14:textId="77777777" w:rsidR="00552E08" w:rsidRDefault="00552E08" w:rsidP="00DC72A3">
                  <w:pPr>
                    <w:rPr>
                      <w:sz w:val="18"/>
                      <w:szCs w:val="18"/>
                    </w:rPr>
                  </w:pPr>
                  <w:r>
                    <w:rPr>
                      <w:sz w:val="18"/>
                      <w:szCs w:val="18"/>
                    </w:rPr>
                    <w:t>Nekustamā īpašuma valsts kadastra, Valsts adrešu reģistra, Augstas detalizācijas topogrāfiskās informācijas un Apgrūtināto teritoriju informācijas sistēmu datu publicēšana atvērto datu veidā</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14:paraId="4124990D" w14:textId="77777777" w:rsidR="00552E08" w:rsidRDefault="00552E08" w:rsidP="00DC72A3">
                  <w:pPr>
                    <w:jc w:val="right"/>
                    <w:rPr>
                      <w:sz w:val="20"/>
                    </w:rPr>
                  </w:pPr>
                  <w:r>
                    <w:rPr>
                      <w:sz w:val="20"/>
                    </w:rPr>
                    <w:t xml:space="preserve">2 149 344 </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14:paraId="34104BFC" w14:textId="77777777" w:rsidR="00552E08" w:rsidRDefault="00552E08" w:rsidP="00DC72A3">
                  <w:pPr>
                    <w:jc w:val="right"/>
                    <w:rPr>
                      <w:sz w:val="20"/>
                    </w:rPr>
                  </w:pPr>
                  <w:r>
                    <w:rPr>
                      <w:sz w:val="20"/>
                    </w:rPr>
                    <w:t xml:space="preserve">1 988 220 </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14:paraId="703FC83A" w14:textId="77777777" w:rsidR="00552E08" w:rsidRDefault="00552E08" w:rsidP="00DC72A3">
                  <w:pPr>
                    <w:jc w:val="right"/>
                    <w:rPr>
                      <w:sz w:val="20"/>
                    </w:rPr>
                  </w:pPr>
                  <w:r>
                    <w:rPr>
                      <w:sz w:val="20"/>
                    </w:rPr>
                    <w:t xml:space="preserve">1 988 220 </w:t>
                  </w:r>
                </w:p>
              </w:tc>
              <w:tc>
                <w:tcPr>
                  <w:tcW w:w="2227" w:type="dxa"/>
                  <w:tcBorders>
                    <w:top w:val="nil"/>
                    <w:left w:val="nil"/>
                    <w:bottom w:val="single" w:sz="8" w:space="0" w:color="auto"/>
                    <w:right w:val="single" w:sz="8" w:space="0" w:color="auto"/>
                  </w:tcBorders>
                  <w:tcMar>
                    <w:top w:w="0" w:type="dxa"/>
                    <w:left w:w="108" w:type="dxa"/>
                    <w:bottom w:w="0" w:type="dxa"/>
                    <w:right w:w="108" w:type="dxa"/>
                  </w:tcMar>
                  <w:hideMark/>
                </w:tcPr>
                <w:p w14:paraId="59F1566D" w14:textId="77777777" w:rsidR="00552E08" w:rsidRDefault="00552E08" w:rsidP="00DC72A3">
                  <w:pPr>
                    <w:jc w:val="right"/>
                    <w:rPr>
                      <w:sz w:val="20"/>
                    </w:rPr>
                  </w:pPr>
                  <w:r>
                    <w:rPr>
                      <w:sz w:val="20"/>
                    </w:rPr>
                    <w:t xml:space="preserve">1 988 220 </w:t>
                  </w:r>
                </w:p>
              </w:tc>
            </w:tr>
            <w:tr w:rsidR="00552E08" w14:paraId="595B2A75" w14:textId="77777777" w:rsidTr="002B66A9">
              <w:trPr>
                <w:trHeight w:val="426"/>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57ADC" w14:textId="77777777" w:rsidR="00552E08" w:rsidRDefault="00552E08" w:rsidP="00DC72A3">
                  <w:pPr>
                    <w:rPr>
                      <w:sz w:val="18"/>
                      <w:szCs w:val="18"/>
                    </w:rPr>
                  </w:pPr>
                  <w:r>
                    <w:rPr>
                      <w:sz w:val="18"/>
                      <w:szCs w:val="18"/>
                    </w:rPr>
                    <w:t>19_05_P</w:t>
                  </w:r>
                </w:p>
              </w:tc>
              <w:tc>
                <w:tcPr>
                  <w:tcW w:w="4260" w:type="dxa"/>
                  <w:tcBorders>
                    <w:top w:val="nil"/>
                    <w:left w:val="nil"/>
                    <w:bottom w:val="single" w:sz="8" w:space="0" w:color="auto"/>
                    <w:right w:val="single" w:sz="8" w:space="0" w:color="auto"/>
                  </w:tcBorders>
                  <w:tcMar>
                    <w:top w:w="0" w:type="dxa"/>
                    <w:left w:w="108" w:type="dxa"/>
                    <w:bottom w:w="0" w:type="dxa"/>
                    <w:right w:w="108" w:type="dxa"/>
                  </w:tcMar>
                  <w:hideMark/>
                </w:tcPr>
                <w:p w14:paraId="73472C26" w14:textId="77777777" w:rsidR="00552E08" w:rsidRDefault="00552E08" w:rsidP="00DC72A3">
                  <w:pPr>
                    <w:rPr>
                      <w:sz w:val="18"/>
                      <w:szCs w:val="18"/>
                    </w:rPr>
                  </w:pPr>
                  <w:r>
                    <w:rPr>
                      <w:sz w:val="18"/>
                      <w:szCs w:val="18"/>
                    </w:rPr>
                    <w:t>Valsts adrešu reģistra un administratīvo robežu datu publicēšana atvērto datu veidā</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14:paraId="0C75B308" w14:textId="77777777" w:rsidR="00552E08" w:rsidRDefault="00552E08" w:rsidP="00DC72A3">
                  <w:pPr>
                    <w:jc w:val="right"/>
                    <w:rPr>
                      <w:sz w:val="20"/>
                    </w:rPr>
                  </w:pPr>
                  <w:r>
                    <w:rPr>
                      <w:sz w:val="20"/>
                    </w:rPr>
                    <w:t xml:space="preserve">192 115 </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14:paraId="1A61EBE3" w14:textId="77777777" w:rsidR="00552E08" w:rsidRDefault="00552E08" w:rsidP="00DC72A3">
                  <w:pPr>
                    <w:jc w:val="right"/>
                    <w:rPr>
                      <w:sz w:val="20"/>
                    </w:rPr>
                  </w:pPr>
                  <w:r>
                    <w:rPr>
                      <w:sz w:val="20"/>
                    </w:rPr>
                    <w:t xml:space="preserve">       86 905 </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14:paraId="39A31CDC" w14:textId="77777777" w:rsidR="00552E08" w:rsidRDefault="00552E08" w:rsidP="00DC72A3">
                  <w:pPr>
                    <w:jc w:val="right"/>
                    <w:rPr>
                      <w:sz w:val="20"/>
                    </w:rPr>
                  </w:pPr>
                  <w:r>
                    <w:rPr>
                      <w:sz w:val="20"/>
                    </w:rPr>
                    <w:t xml:space="preserve">86 905 </w:t>
                  </w:r>
                </w:p>
              </w:tc>
              <w:tc>
                <w:tcPr>
                  <w:tcW w:w="2227" w:type="dxa"/>
                  <w:tcBorders>
                    <w:top w:val="nil"/>
                    <w:left w:val="nil"/>
                    <w:bottom w:val="single" w:sz="8" w:space="0" w:color="auto"/>
                    <w:right w:val="single" w:sz="8" w:space="0" w:color="auto"/>
                  </w:tcBorders>
                  <w:tcMar>
                    <w:top w:w="0" w:type="dxa"/>
                    <w:left w:w="108" w:type="dxa"/>
                    <w:bottom w:w="0" w:type="dxa"/>
                    <w:right w:w="108" w:type="dxa"/>
                  </w:tcMar>
                  <w:hideMark/>
                </w:tcPr>
                <w:p w14:paraId="41970302" w14:textId="77777777" w:rsidR="00552E08" w:rsidRDefault="00552E08" w:rsidP="00DC72A3">
                  <w:pPr>
                    <w:jc w:val="right"/>
                    <w:rPr>
                      <w:sz w:val="20"/>
                    </w:rPr>
                  </w:pPr>
                  <w:r>
                    <w:rPr>
                      <w:sz w:val="20"/>
                    </w:rPr>
                    <w:t xml:space="preserve">        86 905 </w:t>
                  </w:r>
                </w:p>
              </w:tc>
            </w:tr>
          </w:tbl>
          <w:p w14:paraId="04C7526E" w14:textId="77777777" w:rsidR="00552E08" w:rsidRPr="00B9360D" w:rsidRDefault="00552E08" w:rsidP="00060715">
            <w:pPr>
              <w:jc w:val="center"/>
            </w:pPr>
          </w:p>
        </w:tc>
      </w:tr>
      <w:tr w:rsidR="00F0058A" w:rsidRPr="00712B66" w14:paraId="39609ADB" w14:textId="77777777" w:rsidTr="002B53B6">
        <w:tc>
          <w:tcPr>
            <w:tcW w:w="708" w:type="dxa"/>
            <w:tcBorders>
              <w:top w:val="nil"/>
            </w:tcBorders>
          </w:tcPr>
          <w:p w14:paraId="47999D44" w14:textId="77777777" w:rsidR="00F0058A" w:rsidRDefault="00F0058A" w:rsidP="00060715">
            <w:pPr>
              <w:jc w:val="center"/>
            </w:pPr>
          </w:p>
        </w:tc>
        <w:tc>
          <w:tcPr>
            <w:tcW w:w="2094" w:type="dxa"/>
            <w:tcBorders>
              <w:top w:val="nil"/>
            </w:tcBorders>
          </w:tcPr>
          <w:p w14:paraId="6B33272C" w14:textId="77777777" w:rsidR="00F0058A" w:rsidRDefault="00F0058A" w:rsidP="00060715">
            <w:pPr>
              <w:pStyle w:val="naisc"/>
              <w:spacing w:before="0" w:after="0"/>
              <w:ind w:firstLine="5"/>
              <w:jc w:val="left"/>
            </w:pPr>
          </w:p>
        </w:tc>
        <w:tc>
          <w:tcPr>
            <w:tcW w:w="4961" w:type="dxa"/>
            <w:tcBorders>
              <w:top w:val="nil"/>
            </w:tcBorders>
          </w:tcPr>
          <w:p w14:paraId="2472AB49" w14:textId="799C385A" w:rsidR="00F0058A" w:rsidRDefault="00F0058A" w:rsidP="00D01AD3">
            <w:pPr>
              <w:spacing w:after="120"/>
              <w:ind w:firstLine="720"/>
              <w:jc w:val="both"/>
            </w:pPr>
            <w:r>
              <w:t>Vienlaikus arī lūdzam šo ziņojuma sadaļu papildināt ar detalizētiem aprēķiniem, kas pamato norādīto papildu nepieciešamo finansējuma apmēru datu kopu atvēršanai.</w:t>
            </w:r>
          </w:p>
        </w:tc>
        <w:tc>
          <w:tcPr>
            <w:tcW w:w="2126" w:type="dxa"/>
            <w:tcBorders>
              <w:top w:val="nil"/>
            </w:tcBorders>
          </w:tcPr>
          <w:p w14:paraId="5E21E35D" w14:textId="77777777" w:rsidR="00F0058A" w:rsidRPr="00B9360D" w:rsidRDefault="00F0058A" w:rsidP="00060715">
            <w:pPr>
              <w:pStyle w:val="naisc"/>
              <w:spacing w:before="0" w:after="0"/>
              <w:rPr>
                <w:b/>
              </w:rPr>
            </w:pPr>
          </w:p>
        </w:tc>
        <w:tc>
          <w:tcPr>
            <w:tcW w:w="5103" w:type="dxa"/>
            <w:tcBorders>
              <w:top w:val="nil"/>
            </w:tcBorders>
          </w:tcPr>
          <w:p w14:paraId="551C4A70" w14:textId="77777777" w:rsidR="00F0058A" w:rsidRPr="00B9360D" w:rsidRDefault="00F0058A" w:rsidP="00060715">
            <w:pPr>
              <w:jc w:val="center"/>
            </w:pPr>
          </w:p>
        </w:tc>
      </w:tr>
      <w:tr w:rsidR="00DC72A3" w:rsidRPr="00712B66" w14:paraId="30E13094" w14:textId="77777777" w:rsidTr="00566C52">
        <w:tc>
          <w:tcPr>
            <w:tcW w:w="708" w:type="dxa"/>
          </w:tcPr>
          <w:p w14:paraId="61E2F687" w14:textId="1F6ECB8F" w:rsidR="00DC72A3" w:rsidRDefault="009735A5" w:rsidP="00060715">
            <w:pPr>
              <w:jc w:val="center"/>
            </w:pPr>
            <w:r>
              <w:t>1</w:t>
            </w:r>
            <w:r w:rsidR="00C51D5B">
              <w:t>4</w:t>
            </w:r>
            <w:r>
              <w:t>.</w:t>
            </w:r>
          </w:p>
        </w:tc>
        <w:tc>
          <w:tcPr>
            <w:tcW w:w="2094" w:type="dxa"/>
          </w:tcPr>
          <w:p w14:paraId="5B1880F8" w14:textId="77777777" w:rsidR="00DC72A3" w:rsidRDefault="00DC72A3" w:rsidP="00060715">
            <w:pPr>
              <w:pStyle w:val="naisc"/>
              <w:spacing w:before="0" w:after="0"/>
              <w:ind w:firstLine="5"/>
              <w:jc w:val="left"/>
            </w:pPr>
          </w:p>
        </w:tc>
        <w:tc>
          <w:tcPr>
            <w:tcW w:w="4961" w:type="dxa"/>
          </w:tcPr>
          <w:p w14:paraId="56188176" w14:textId="77777777" w:rsidR="00DC72A3" w:rsidRPr="00DC72A3" w:rsidRDefault="00DC72A3" w:rsidP="00D01AD3">
            <w:pPr>
              <w:spacing w:after="120"/>
              <w:ind w:firstLine="720"/>
              <w:jc w:val="both"/>
            </w:pPr>
            <w:r>
              <w:t xml:space="preserve">5. Lūdzam informatīvā ziņojuma 6.sadaļu papildināt ar skaidrojumu, kāpēc VSIA “Latvijas Vides, ģeoloģijas un meteoroloģijas centrs”, kas ir kapitālsabiedrība, datu kopu atvēršanai </w:t>
            </w:r>
            <w:r>
              <w:lastRenderedPageBreak/>
              <w:t>nepieciešamais finansējums būtu nodrošināms no valsts budžeta, skaidrojot, vai datu kopu atvēršana minētajai kapitālsabiedrībai būs noteikta kā valsts pārvaldes uzdevuma izpildes deleģējums.</w:t>
            </w:r>
          </w:p>
        </w:tc>
        <w:tc>
          <w:tcPr>
            <w:tcW w:w="2126" w:type="dxa"/>
          </w:tcPr>
          <w:p w14:paraId="052B5DC5" w14:textId="38C5ABFE" w:rsidR="00DC72A3" w:rsidRPr="00B9360D" w:rsidRDefault="00FA5CA2" w:rsidP="00060715">
            <w:pPr>
              <w:pStyle w:val="naisc"/>
              <w:spacing w:before="0" w:after="0"/>
              <w:rPr>
                <w:b/>
              </w:rPr>
            </w:pPr>
            <w:r>
              <w:rPr>
                <w:b/>
              </w:rPr>
              <w:lastRenderedPageBreak/>
              <w:t>Ņemts vērā.</w:t>
            </w:r>
          </w:p>
        </w:tc>
        <w:tc>
          <w:tcPr>
            <w:tcW w:w="5103" w:type="dxa"/>
          </w:tcPr>
          <w:p w14:paraId="6A28E181" w14:textId="77777777" w:rsidR="00381AE4" w:rsidRDefault="002C4707" w:rsidP="00060715">
            <w:pPr>
              <w:jc w:val="center"/>
            </w:pPr>
            <w:r>
              <w:t xml:space="preserve">Precizēta ziņojuma 6. sadaļa </w:t>
            </w:r>
          </w:p>
          <w:p w14:paraId="248042F4" w14:textId="77777777" w:rsidR="00381AE4" w:rsidRDefault="00381AE4" w:rsidP="00060715">
            <w:pPr>
              <w:jc w:val="center"/>
            </w:pPr>
          </w:p>
          <w:p w14:paraId="6BB8F022" w14:textId="26867A04" w:rsidR="00DC72A3" w:rsidRPr="00B9360D" w:rsidRDefault="00381AE4" w:rsidP="00060715">
            <w:pPr>
              <w:jc w:val="center"/>
            </w:pPr>
            <w:r>
              <w:t>“</w:t>
            </w:r>
            <w:r w:rsidR="002C4707" w:rsidRPr="00F5236D">
              <w:t>Latvijas Vides, ģeoloģijas un meteoroloģijas centrs</w:t>
            </w:r>
            <w:r w:rsidR="002C4707">
              <w:t xml:space="preserve"> (veicot valsts uzdevumu deleģējuma līguma </w:t>
            </w:r>
            <w:r w:rsidR="002C4707">
              <w:lastRenderedPageBreak/>
              <w:t>ietvaros)</w:t>
            </w:r>
            <w:r>
              <w:t>”</w:t>
            </w:r>
          </w:p>
        </w:tc>
      </w:tr>
      <w:tr w:rsidR="00DC72A3" w:rsidRPr="00712B66" w14:paraId="45028F98" w14:textId="77777777" w:rsidTr="00566C52">
        <w:tc>
          <w:tcPr>
            <w:tcW w:w="708" w:type="dxa"/>
          </w:tcPr>
          <w:p w14:paraId="4A116AB7" w14:textId="0DDA0959" w:rsidR="00DC72A3" w:rsidRDefault="009735A5" w:rsidP="00060715">
            <w:pPr>
              <w:jc w:val="center"/>
            </w:pPr>
            <w:r>
              <w:lastRenderedPageBreak/>
              <w:t>1</w:t>
            </w:r>
            <w:r w:rsidR="00C51D5B">
              <w:t>5</w:t>
            </w:r>
            <w:r>
              <w:t>.</w:t>
            </w:r>
          </w:p>
        </w:tc>
        <w:tc>
          <w:tcPr>
            <w:tcW w:w="2094" w:type="dxa"/>
          </w:tcPr>
          <w:p w14:paraId="1937DD3A" w14:textId="77777777" w:rsidR="00DC72A3" w:rsidRDefault="00DC72A3" w:rsidP="00060715">
            <w:pPr>
              <w:pStyle w:val="naisc"/>
              <w:spacing w:before="0" w:after="0"/>
              <w:ind w:firstLine="5"/>
              <w:jc w:val="left"/>
            </w:pPr>
          </w:p>
        </w:tc>
        <w:tc>
          <w:tcPr>
            <w:tcW w:w="4961" w:type="dxa"/>
          </w:tcPr>
          <w:p w14:paraId="0F2EBF62" w14:textId="77777777" w:rsidR="00DC72A3" w:rsidRPr="00DC72A3" w:rsidRDefault="00DC72A3" w:rsidP="00D01AD3">
            <w:pPr>
              <w:spacing w:after="120"/>
              <w:ind w:firstLine="720"/>
              <w:jc w:val="both"/>
            </w:pPr>
            <w:r>
              <w:t xml:space="preserve">6. Lūdzam informatīvā ziņojuma 7.sadaļu papildināt ar informāciju par turpmāko rīcību, ja pieprasītais papildu finansējums budžeta sagatavošanas procesā netiks atbalstīts. </w:t>
            </w:r>
          </w:p>
        </w:tc>
        <w:tc>
          <w:tcPr>
            <w:tcW w:w="2126" w:type="dxa"/>
          </w:tcPr>
          <w:p w14:paraId="0F70C6C1" w14:textId="4E018383" w:rsidR="00DC72A3" w:rsidRPr="00B9360D" w:rsidRDefault="008C33EA" w:rsidP="00060715">
            <w:pPr>
              <w:pStyle w:val="naisc"/>
              <w:spacing w:before="0" w:after="0"/>
              <w:rPr>
                <w:b/>
              </w:rPr>
            </w:pPr>
            <w:r>
              <w:rPr>
                <w:b/>
              </w:rPr>
              <w:t>Ņemts vērā.</w:t>
            </w:r>
          </w:p>
        </w:tc>
        <w:tc>
          <w:tcPr>
            <w:tcW w:w="5103" w:type="dxa"/>
          </w:tcPr>
          <w:p w14:paraId="62369EB2" w14:textId="7C3A1D0A" w:rsidR="00DC72A3" w:rsidRDefault="000540A8" w:rsidP="00060715">
            <w:pPr>
              <w:jc w:val="center"/>
            </w:pPr>
            <w:r>
              <w:t xml:space="preserve">Precizēta </w:t>
            </w:r>
            <w:r w:rsidR="00BF4553">
              <w:t xml:space="preserve">ziņojuma </w:t>
            </w:r>
            <w:r w:rsidR="00A86B44">
              <w:t>6</w:t>
            </w:r>
            <w:r w:rsidR="00BF4553">
              <w:t>. sadaļa</w:t>
            </w:r>
          </w:p>
          <w:p w14:paraId="778B641F" w14:textId="77777777" w:rsidR="00BF4553" w:rsidRDefault="00BF4553" w:rsidP="00060715">
            <w:pPr>
              <w:jc w:val="center"/>
            </w:pPr>
          </w:p>
          <w:p w14:paraId="74859DC5" w14:textId="676D7FAD" w:rsidR="00BF4553" w:rsidRPr="00B9360D" w:rsidRDefault="00BF4553" w:rsidP="00C51D5B">
            <w:pPr>
              <w:spacing w:after="60"/>
              <w:jc w:val="center"/>
            </w:pPr>
            <w:r>
              <w:t>“Ja negūto ieņēmumu daļa netiks kompensēta no valsts budžeta datu kopu atvēršana nebūs iespējama</w:t>
            </w:r>
            <w:r w:rsidR="00670D7F">
              <w:t xml:space="preserve"> vai būs iespējama pēc budžeta līdzekļu piešķiršanas nākamajā gadā</w:t>
            </w:r>
            <w:r>
              <w:t>”</w:t>
            </w:r>
          </w:p>
        </w:tc>
      </w:tr>
      <w:tr w:rsidR="00DC72A3" w:rsidRPr="00712B66" w14:paraId="2AFBA4EE" w14:textId="77777777" w:rsidTr="00566C52">
        <w:tc>
          <w:tcPr>
            <w:tcW w:w="708" w:type="dxa"/>
          </w:tcPr>
          <w:p w14:paraId="0E4B8BF8" w14:textId="5FAAD9EE" w:rsidR="00DC72A3" w:rsidRDefault="009735A5" w:rsidP="00060715">
            <w:pPr>
              <w:jc w:val="center"/>
            </w:pPr>
            <w:r>
              <w:t>1</w:t>
            </w:r>
            <w:r w:rsidR="00C51D5B">
              <w:t>6</w:t>
            </w:r>
            <w:r>
              <w:t>.</w:t>
            </w:r>
          </w:p>
        </w:tc>
        <w:tc>
          <w:tcPr>
            <w:tcW w:w="2094" w:type="dxa"/>
          </w:tcPr>
          <w:p w14:paraId="03456318" w14:textId="77777777" w:rsidR="00DC72A3" w:rsidRDefault="00DC72A3" w:rsidP="00060715">
            <w:pPr>
              <w:pStyle w:val="naisc"/>
              <w:spacing w:before="0" w:after="0"/>
              <w:ind w:firstLine="5"/>
              <w:jc w:val="left"/>
            </w:pPr>
          </w:p>
        </w:tc>
        <w:tc>
          <w:tcPr>
            <w:tcW w:w="4961" w:type="dxa"/>
          </w:tcPr>
          <w:p w14:paraId="17F73376" w14:textId="77777777" w:rsidR="00DC72A3" w:rsidRPr="00A86B44" w:rsidRDefault="00DC72A3" w:rsidP="00D01AD3">
            <w:pPr>
              <w:ind w:firstLine="720"/>
              <w:jc w:val="both"/>
            </w:pPr>
            <w:r w:rsidRPr="00A86B44">
              <w:t xml:space="preserve">7. Ņemot vērā, ka ministrijas prioritāro pasākumu pieteikumus jau ir iesniegušas, lūdzam svītrot Ministru kabineta protokollēmuma 2.punktu un attiecīgi arī precizēt 3.punktu. </w:t>
            </w:r>
          </w:p>
          <w:p w14:paraId="017E0200" w14:textId="77777777" w:rsidR="00DC72A3" w:rsidRPr="00DC72A3" w:rsidRDefault="00DC72A3" w:rsidP="00D01AD3">
            <w:pPr>
              <w:spacing w:after="120"/>
              <w:ind w:firstLine="720"/>
              <w:jc w:val="both"/>
            </w:pPr>
            <w:r w:rsidRPr="00A86B44">
              <w:t>Ievērojot, ka informatīvajā ziņojumā paredzēto pasākumu īstenošanai nepieciešams papildu valsts budžeta finansējums, vēršam uzmanību, ka VARAM nepieciešams izvērtēt lietderību informatīvā ziņojuma virzībai izskatīšanai Ministru kabinetā pirms valsts budžeta sagatavošanas procesa diskusijām, kuras saskaņā ar budžeta sagatavošanas grafiku norisināsies 2021.gada augusta beigās/septembra sākumā.</w:t>
            </w:r>
            <w:r>
              <w:t xml:space="preserve"> </w:t>
            </w:r>
          </w:p>
        </w:tc>
        <w:tc>
          <w:tcPr>
            <w:tcW w:w="2126" w:type="dxa"/>
          </w:tcPr>
          <w:p w14:paraId="5A1F7318" w14:textId="3AB8B35D" w:rsidR="00DC72A3" w:rsidRPr="00B9360D" w:rsidRDefault="00D50D2A" w:rsidP="00060715">
            <w:pPr>
              <w:pStyle w:val="naisc"/>
              <w:spacing w:before="0" w:after="0"/>
              <w:rPr>
                <w:b/>
              </w:rPr>
            </w:pPr>
            <w:r>
              <w:rPr>
                <w:b/>
              </w:rPr>
              <w:t>Ņemts vērā.</w:t>
            </w:r>
          </w:p>
        </w:tc>
        <w:tc>
          <w:tcPr>
            <w:tcW w:w="5103" w:type="dxa"/>
          </w:tcPr>
          <w:p w14:paraId="5424C519" w14:textId="65939E28" w:rsidR="00FB1280" w:rsidRPr="0070557A" w:rsidRDefault="00FB1280" w:rsidP="0070557A">
            <w:pPr>
              <w:spacing w:after="120"/>
              <w:jc w:val="both"/>
            </w:pPr>
            <w:r>
              <w:rPr>
                <w:szCs w:val="28"/>
              </w:rPr>
              <w:t xml:space="preserve">2. </w:t>
            </w:r>
            <w:r w:rsidRPr="0070557A">
              <w:t xml:space="preserve">Tieslietu ministrijai (Valsts zemes dienestam) un Vides aizsardzības un reģionālās attīstības ministrijai (Latvijas Vides, ģeoloģijas un meteoroloģijas centram) normatīvajos aktos noteiktajā kārtībā sagatavot un iesniegt attiecīgus prioritārā pasākuma pieteikumus </w:t>
            </w:r>
            <w:r w:rsidRPr="00C26A74">
              <w:rPr>
                <w:u w:val="single"/>
              </w:rPr>
              <w:t>202</w:t>
            </w:r>
            <w:r w:rsidR="00715DFA" w:rsidRPr="00C26A74">
              <w:rPr>
                <w:u w:val="single"/>
              </w:rPr>
              <w:t>3</w:t>
            </w:r>
            <w:r w:rsidRPr="0070557A">
              <w:t>. gadam un turpmākajiem gadiem, paredzot nepieciešamo finansējumu esošajiem maksas pakalpojumiem, kas nodrošina vispārpieejamās informācijas (datu) izsniegšanu pārveidei uz atvērto datu publicēšanu.</w:t>
            </w:r>
          </w:p>
          <w:p w14:paraId="21AA2773" w14:textId="4BC5D1C9" w:rsidR="00FB1280" w:rsidRPr="0070557A" w:rsidRDefault="00FB1280" w:rsidP="0070557A">
            <w:pPr>
              <w:spacing w:after="120"/>
              <w:jc w:val="both"/>
            </w:pPr>
            <w:r w:rsidRPr="0070557A">
              <w:t xml:space="preserve">3. Jautājums par papildu valsts budžeta līdzekļu piešķiršanu </w:t>
            </w:r>
            <w:r w:rsidRPr="00C26A74">
              <w:rPr>
                <w:u w:val="single"/>
              </w:rPr>
              <w:t>202</w:t>
            </w:r>
            <w:r w:rsidR="00715DFA" w:rsidRPr="00C26A74">
              <w:rPr>
                <w:u w:val="single"/>
              </w:rPr>
              <w:t>3</w:t>
            </w:r>
            <w:r w:rsidRPr="0070557A">
              <w:t xml:space="preserve">. gadā un turpmākajiem gadiem šā protokollēmuma 2. punktā minētā risinājuma īstenošanai skatāms Ministru kabinetā likumprojekta “Par valsts budžetu </w:t>
            </w:r>
            <w:r w:rsidRPr="00C26A74">
              <w:rPr>
                <w:u w:val="single"/>
              </w:rPr>
              <w:t>202</w:t>
            </w:r>
            <w:r w:rsidR="00715DFA" w:rsidRPr="00C26A74">
              <w:rPr>
                <w:u w:val="single"/>
              </w:rPr>
              <w:t>3</w:t>
            </w:r>
            <w:r w:rsidRPr="0070557A">
              <w:t xml:space="preserve">. gadam” un likumprojekta “Par vidēja termiņa budžeta ietvaru </w:t>
            </w:r>
            <w:r w:rsidRPr="00C26A74">
              <w:rPr>
                <w:u w:val="single"/>
              </w:rPr>
              <w:t>202</w:t>
            </w:r>
            <w:r w:rsidR="00C26A74" w:rsidRPr="00C26A74">
              <w:rPr>
                <w:u w:val="single"/>
              </w:rPr>
              <w:t>3</w:t>
            </w:r>
            <w:r w:rsidRPr="00C26A74">
              <w:rPr>
                <w:u w:val="single"/>
              </w:rPr>
              <w:t>.</w:t>
            </w:r>
            <w:r w:rsidRPr="0070557A">
              <w:t xml:space="preserve">, </w:t>
            </w:r>
            <w:r w:rsidRPr="00C26A74">
              <w:rPr>
                <w:u w:val="single"/>
              </w:rPr>
              <w:t>202</w:t>
            </w:r>
            <w:r w:rsidR="00C26A74" w:rsidRPr="00C26A74">
              <w:rPr>
                <w:u w:val="single"/>
              </w:rPr>
              <w:t>4</w:t>
            </w:r>
            <w:r w:rsidRPr="00C26A74">
              <w:rPr>
                <w:u w:val="single"/>
              </w:rPr>
              <w:t>.</w:t>
            </w:r>
            <w:r w:rsidRPr="0070557A">
              <w:t xml:space="preserve"> un </w:t>
            </w:r>
            <w:r w:rsidRPr="00C26A74">
              <w:rPr>
                <w:u w:val="single"/>
              </w:rPr>
              <w:t>202</w:t>
            </w:r>
            <w:r w:rsidR="00C26A74" w:rsidRPr="00C26A74">
              <w:rPr>
                <w:u w:val="single"/>
              </w:rPr>
              <w:t>5</w:t>
            </w:r>
            <w:r w:rsidRPr="00C26A74">
              <w:rPr>
                <w:u w:val="single"/>
              </w:rPr>
              <w:t>.</w:t>
            </w:r>
            <w:r w:rsidRPr="0070557A">
              <w:t xml:space="preserve"> gadam” sagatavošanas un izskatīšanas procesā kopā ar visu ministriju un centrālo valsts iestāžu iesniegtajiem prioritāro pasākumu pieteikumiem atbilstoši valsts budžeta finansiālajām iespējām.</w:t>
            </w:r>
          </w:p>
          <w:p w14:paraId="038F494C" w14:textId="77777777" w:rsidR="00DC72A3" w:rsidRPr="00B9360D" w:rsidRDefault="00DC72A3" w:rsidP="00060715">
            <w:pPr>
              <w:jc w:val="center"/>
            </w:pPr>
          </w:p>
        </w:tc>
      </w:tr>
      <w:tr w:rsidR="00DC72A3" w:rsidRPr="00712B66" w14:paraId="14207B92" w14:textId="77777777" w:rsidTr="00566C52">
        <w:tc>
          <w:tcPr>
            <w:tcW w:w="708" w:type="dxa"/>
          </w:tcPr>
          <w:p w14:paraId="12F2FA68" w14:textId="5A7AE4A0" w:rsidR="00DC72A3" w:rsidRDefault="009735A5" w:rsidP="00060715">
            <w:pPr>
              <w:jc w:val="center"/>
            </w:pPr>
            <w:r>
              <w:lastRenderedPageBreak/>
              <w:t>1</w:t>
            </w:r>
            <w:r w:rsidR="00C51D5B">
              <w:t>7</w:t>
            </w:r>
            <w:r>
              <w:t>.</w:t>
            </w:r>
          </w:p>
        </w:tc>
        <w:tc>
          <w:tcPr>
            <w:tcW w:w="2094" w:type="dxa"/>
          </w:tcPr>
          <w:p w14:paraId="0E7D2740" w14:textId="77777777" w:rsidR="00DC72A3" w:rsidRDefault="00DC72A3" w:rsidP="00060715">
            <w:pPr>
              <w:pStyle w:val="naisc"/>
              <w:spacing w:before="0" w:after="0"/>
              <w:ind w:firstLine="5"/>
              <w:jc w:val="left"/>
            </w:pPr>
          </w:p>
        </w:tc>
        <w:tc>
          <w:tcPr>
            <w:tcW w:w="4961" w:type="dxa"/>
          </w:tcPr>
          <w:p w14:paraId="72576FF4" w14:textId="77777777" w:rsidR="00DC72A3" w:rsidRDefault="00DC72A3" w:rsidP="00D01AD3">
            <w:pPr>
              <w:ind w:firstLine="720"/>
              <w:jc w:val="both"/>
            </w:pPr>
            <w:r>
              <w:t>8. Likuma “Par nodokļiem un nodevām” 22.pantā ietverts konfidencialitātes princips, kas paredz aizliegumu nodokļu administrācijas amatpersonai izpaust jebkādu informāciju par nodokļu maksātāju bez viņa piekrišanas.  Lai arī normatīvie akti nosaka pienākumu VID publiskot noteikta satura informāciju, tomēr ar publiskošanu, šī informācija saglabā konfidencialitātes statusu un tās tālāka publiskošana ir ierobežota. Pirms VID publiskojamās informācijas iekļaušanas atvērto datu portālā ir jāveic likuma “Par nodokļiem un nodevām” 22.pantā ietvertā konfidencialitātes principa pārvērtēšana un attiecīgi jāpārvērtē arī tiesību normas, kas paredz informācijas publiskošanu, paplašinot vispārpieejamās informācijas apjomu, ko VID varētu publicēt atvērto datu portālā.</w:t>
            </w:r>
          </w:p>
          <w:p w14:paraId="1F6EDC34" w14:textId="77777777" w:rsidR="00DC72A3" w:rsidRDefault="00DC72A3" w:rsidP="00D01AD3">
            <w:pPr>
              <w:ind w:firstLine="720"/>
              <w:jc w:val="both"/>
            </w:pPr>
            <w:r>
              <w:t>Informatīvā ziņojuma ievadā ir norādīts, ka “Atvērts pēc noklusējuma” princips ir atklātas un pieejamas valsts pārvaldes pamatā, tā īstenošana nozīmē organizēt valsts pārvaldes darbu tā, lai visa informācija, kura netiek īpaši aizsargāta, ir pieejama sabiedrībai ērtā veidā.</w:t>
            </w:r>
          </w:p>
          <w:p w14:paraId="7B027467" w14:textId="77777777" w:rsidR="00DC72A3" w:rsidRDefault="00DC72A3" w:rsidP="00D01AD3">
            <w:pPr>
              <w:ind w:firstLine="720"/>
              <w:jc w:val="both"/>
            </w:pPr>
            <w:r>
              <w:t>Tādējādi nav paredzēts publiskot tādu informāciju, kura ir aizsargāta ar normatīvajiem aktiem.</w:t>
            </w:r>
          </w:p>
          <w:p w14:paraId="2838987E" w14:textId="77777777" w:rsidR="00DC72A3" w:rsidRDefault="00DC72A3" w:rsidP="00D01AD3">
            <w:pPr>
              <w:ind w:firstLine="720"/>
              <w:jc w:val="both"/>
            </w:pPr>
            <w:r>
              <w:t xml:space="preserve">Ņemot vērā, ka informatīvā ziņojuma pielikumā “Atvēršanai piemēroto datu kopu saraksts” attiecībā uz VID kā sabiedrībai noderīga, bet nepublicēta informācija, ir norādīta informācija par biļešu uzskaites datiem un valsts </w:t>
            </w:r>
            <w:r>
              <w:lastRenderedPageBreak/>
              <w:t>amatpersonu sarakstu un to grozījumu datiem, šobrīd attiecībā uz minētās informācijas publiskošanu ārējos normatīvajos aktos nav noteikts VID pienākums to publicēt un VID nevar atbalstīt tādu datu kopu publicēšanu atvērto datu veidā.</w:t>
            </w:r>
          </w:p>
          <w:p w14:paraId="1E3EE408" w14:textId="77777777" w:rsidR="00DC72A3" w:rsidRPr="00DC72A3" w:rsidRDefault="00DC72A3" w:rsidP="00D01AD3">
            <w:pPr>
              <w:spacing w:after="120"/>
              <w:ind w:firstLine="720"/>
              <w:jc w:val="both"/>
            </w:pPr>
            <w:r>
              <w:t>Tādējādi lūdzam svītrot no informatīvā ziņojuma pielikuma “Atvēršanai piemēroto datu kopu saraksts” attiecībā uz VID publiskoto informāciju atvērto datu veidā informāciju par biļešu uzskaites datiem un valsts amatpersonu sarakstu un to grozījumu datiem.</w:t>
            </w:r>
          </w:p>
        </w:tc>
        <w:tc>
          <w:tcPr>
            <w:tcW w:w="2126" w:type="dxa"/>
          </w:tcPr>
          <w:p w14:paraId="6DBEBA9B" w14:textId="015F060D" w:rsidR="00DC72A3" w:rsidRPr="00B9360D" w:rsidRDefault="0053041C" w:rsidP="00060715">
            <w:pPr>
              <w:pStyle w:val="naisc"/>
              <w:spacing w:before="0" w:after="0"/>
              <w:rPr>
                <w:b/>
              </w:rPr>
            </w:pPr>
            <w:r>
              <w:rPr>
                <w:b/>
              </w:rPr>
              <w:lastRenderedPageBreak/>
              <w:t>Ņemts vērā.</w:t>
            </w:r>
          </w:p>
        </w:tc>
        <w:tc>
          <w:tcPr>
            <w:tcW w:w="5103" w:type="dxa"/>
          </w:tcPr>
          <w:p w14:paraId="4909B2E3" w14:textId="6C050AE6" w:rsidR="00DC72A3" w:rsidRPr="00B9360D" w:rsidRDefault="009860DF" w:rsidP="00060715">
            <w:pPr>
              <w:jc w:val="center"/>
            </w:pPr>
            <w:r>
              <w:t>Atbilstoši precizēts pielikums.</w:t>
            </w:r>
          </w:p>
        </w:tc>
      </w:tr>
      <w:tr w:rsidR="00155FB0" w:rsidRPr="00712B66" w14:paraId="6E823DE5" w14:textId="77777777" w:rsidTr="00566C52">
        <w:tc>
          <w:tcPr>
            <w:tcW w:w="708" w:type="dxa"/>
          </w:tcPr>
          <w:p w14:paraId="3D313FFE" w14:textId="53B4D25D" w:rsidR="00155FB0" w:rsidRDefault="00155FB0" w:rsidP="00155FB0">
            <w:pPr>
              <w:jc w:val="center"/>
            </w:pPr>
            <w:r>
              <w:t>1</w:t>
            </w:r>
            <w:r w:rsidR="00C51D5B">
              <w:t>8</w:t>
            </w:r>
            <w:r>
              <w:t>.</w:t>
            </w:r>
          </w:p>
        </w:tc>
        <w:tc>
          <w:tcPr>
            <w:tcW w:w="2094" w:type="dxa"/>
          </w:tcPr>
          <w:p w14:paraId="2570D6B5" w14:textId="77777777" w:rsidR="00155FB0" w:rsidRDefault="00155FB0" w:rsidP="00155FB0">
            <w:pPr>
              <w:pStyle w:val="naisc"/>
              <w:spacing w:before="0" w:after="0"/>
              <w:ind w:firstLine="5"/>
              <w:jc w:val="left"/>
            </w:pPr>
          </w:p>
        </w:tc>
        <w:tc>
          <w:tcPr>
            <w:tcW w:w="4961" w:type="dxa"/>
          </w:tcPr>
          <w:p w14:paraId="74E992A6" w14:textId="77777777" w:rsidR="00155FB0" w:rsidRDefault="00155FB0" w:rsidP="00155FB0">
            <w:pPr>
              <w:ind w:firstLine="720"/>
              <w:jc w:val="both"/>
            </w:pPr>
            <w:r>
              <w:t xml:space="preserve">9. Saskaņā ar likuma “Par nodokļiem un nodevām” 18.panta pirmās daļas 22.punktu nodokļu administrācijas pienākums ir nodrošināt publiski pieejamu datubāzi (reģistru) par fiziskajām personām, kas veic saimniecisko darbību. </w:t>
            </w:r>
          </w:p>
          <w:p w14:paraId="3FABF3A6" w14:textId="77777777" w:rsidR="00155FB0" w:rsidRDefault="00155FB0" w:rsidP="00155FB0">
            <w:pPr>
              <w:ind w:firstLine="720"/>
              <w:jc w:val="both"/>
            </w:pPr>
            <w:r>
              <w:t xml:space="preserve">Saskaņā ar likuma “Par nodokļiem un nodevām” 18.panta sestajā daļā noteikto, ka šā panta pirmās daļas 22.punktā minētajā datubāzē esošā informācija par fiziskajām personām, kas veic saimniecisko darbību un ir reģistrētas Valsts ieņēmumu dienesta Nodokļu maksātāju reģistrā kā saimnieciskās darbības veicējas vai patentmaksas maksātājas vai kas normatīvajos aktos noteiktajos gadījumos var nereģistrēties Valsts ieņēmumu dienestā kā saimnieciskās darbības veicējas un ir paziņojušas Valsts ieņēmumu dienestam par saimnieciskās darbības veikšanu, ir pieejama normatīvajos aktos noteikto nodokļu maksātāju pienākumu izpildes nodrošināšanai, saimnieciskās darbības vides </w:t>
            </w:r>
            <w:r>
              <w:lastRenderedPageBreak/>
              <w:t>drošības, godīgas konkurences un labprātīgas nodokļu (nodevu) saistību izpildes veicināšanai. Šā panta pirmās daļas 22.punktā minētajā datubāzē, ievadot attiecīgās personas vārdu, uzvārdu un nodokļu maksātāja reģistrācijas kodu, var saņemt šādu informāciju:</w:t>
            </w:r>
          </w:p>
          <w:p w14:paraId="42AEFF32" w14:textId="77777777" w:rsidR="00155FB0" w:rsidRDefault="00155FB0" w:rsidP="00155FB0">
            <w:pPr>
              <w:ind w:firstLine="720"/>
              <w:jc w:val="both"/>
            </w:pPr>
            <w:r>
              <w:t>1) datums, kad persona reģistrēta Valsts ieņēmumu dienesta Nodokļu maksātāju reģistrā kā saimnieciskās darbības veicēja vai izslēgta no minētā reģistra;</w:t>
            </w:r>
          </w:p>
          <w:p w14:paraId="4E80FD7A" w14:textId="77777777" w:rsidR="00155FB0" w:rsidRDefault="00155FB0" w:rsidP="00155FB0">
            <w:pPr>
              <w:ind w:firstLine="720"/>
              <w:jc w:val="both"/>
            </w:pPr>
            <w:r>
              <w:t>2) patentmaksas maksātāja patentmaksas piemērošanas periods (patentmaksas maksājuma termiņš);</w:t>
            </w:r>
          </w:p>
          <w:p w14:paraId="458902C4" w14:textId="77777777" w:rsidR="00155FB0" w:rsidRDefault="00155FB0" w:rsidP="00155FB0">
            <w:pPr>
              <w:ind w:firstLine="720"/>
              <w:jc w:val="both"/>
            </w:pPr>
            <w:r>
              <w:t>3) datums, kad Valsts ieņēmumu dienestā apstiprināts tās personas saimnieciskās darbības paziņojums, kura normatīvajos aktos noteiktajos gadījumos var nereģistrēties Valsts ieņēmumu dienestā kā saimnieciskās darbības veicēja, bet ir paziņojusi Valsts ieņēmumu dienestam par saimnieciskās darbības veikšanu, vai saimnieciskās darbības izbeigšanas datums, ko minētā persona paziņojusi Valsts ieņēmumu dienestam.</w:t>
            </w:r>
          </w:p>
          <w:p w14:paraId="343C040D" w14:textId="77777777" w:rsidR="00155FB0" w:rsidRDefault="00155FB0" w:rsidP="00155FB0">
            <w:pPr>
              <w:ind w:firstLine="720"/>
              <w:jc w:val="both"/>
            </w:pPr>
            <w:r>
              <w:t xml:space="preserve">Tikai tajā gadījumā, kad ir zināms darījumā partnera vārds, uzvārds un personas kods, var noskaidrot attiecīgo fizisko personu – saimnieciskās darbības veicēju. </w:t>
            </w:r>
          </w:p>
          <w:p w14:paraId="7D74414F" w14:textId="77777777" w:rsidR="00155FB0" w:rsidRDefault="00155FB0" w:rsidP="00155FB0">
            <w:pPr>
              <w:ind w:firstLine="720"/>
              <w:jc w:val="both"/>
            </w:pPr>
            <w:r>
              <w:t xml:space="preserve">Tā kā struktūrvienību var reģistrēt arī fiziskā persona – saimnieciskās darbības veicējs, tad informāciju par fizisko personu var noskaidrot tikai gadījumā, ja ir zināms vārds, uzvārds un nodokļu maksātāja reģistrācijas kods, kas vienlaikus ir fiziskai personai Pilsonības un </w:t>
            </w:r>
            <w:r>
              <w:lastRenderedPageBreak/>
              <w:t>migrācijas lietu pārvaldes piešķirtais personas kods.</w:t>
            </w:r>
          </w:p>
          <w:p w14:paraId="6FFA64B0" w14:textId="77777777" w:rsidR="00155FB0" w:rsidRPr="00DC72A3" w:rsidRDefault="00155FB0" w:rsidP="00155FB0">
            <w:pPr>
              <w:spacing w:after="120"/>
              <w:ind w:firstLine="720"/>
              <w:jc w:val="both"/>
            </w:pPr>
            <w:r>
              <w:t>Ņemot vēra minēto, lūdzam precizēt informatīvā ziņojumā pielikumu “Atvēršanai piemērotu datu kopu saraksts”, norādot, ka Nodokļu maksātāju un nodokļu maksātāju struktūrvienību reģistra datu kopa nav publicējama atvērto datu veidā, jo informāciju reģistrā publisko ievadot attiecīgās personas vārdu, uzvārdu un nodokļu maksātāja reģistrācijas kodu. Līdz ar to atvērto datu veidā var publiskot datus par juridiskām personām.</w:t>
            </w:r>
            <w:r w:rsidRPr="00AC3119">
              <w:t xml:space="preserve"> </w:t>
            </w:r>
          </w:p>
        </w:tc>
        <w:tc>
          <w:tcPr>
            <w:tcW w:w="2126" w:type="dxa"/>
          </w:tcPr>
          <w:p w14:paraId="73F5B0D7" w14:textId="6728550B" w:rsidR="00155FB0" w:rsidRPr="00B9360D" w:rsidRDefault="00155FB0" w:rsidP="00155FB0">
            <w:pPr>
              <w:pStyle w:val="naisc"/>
              <w:spacing w:before="0" w:after="0"/>
              <w:rPr>
                <w:b/>
              </w:rPr>
            </w:pPr>
            <w:r>
              <w:rPr>
                <w:b/>
              </w:rPr>
              <w:lastRenderedPageBreak/>
              <w:t>Ņemts vērā.</w:t>
            </w:r>
          </w:p>
        </w:tc>
        <w:tc>
          <w:tcPr>
            <w:tcW w:w="5103" w:type="dxa"/>
          </w:tcPr>
          <w:p w14:paraId="596F884E" w14:textId="77777777" w:rsidR="00155FB0" w:rsidRDefault="00155FB0" w:rsidP="00155FB0">
            <w:pPr>
              <w:jc w:val="center"/>
            </w:pPr>
            <w:r>
              <w:t>Atbilstoši precizēts pielikums.</w:t>
            </w:r>
          </w:p>
          <w:p w14:paraId="2AE040FE" w14:textId="77777777" w:rsidR="00113935" w:rsidRDefault="00113935" w:rsidP="00155FB0">
            <w:pPr>
              <w:jc w:val="center"/>
              <w:rPr>
                <w:bCs/>
              </w:rPr>
            </w:pPr>
          </w:p>
          <w:p w14:paraId="338E2084" w14:textId="531E2D69" w:rsidR="00113935" w:rsidRPr="00113935" w:rsidRDefault="00113935" w:rsidP="00155FB0">
            <w:pPr>
              <w:jc w:val="center"/>
              <w:rPr>
                <w:b/>
                <w:bCs/>
              </w:rPr>
            </w:pPr>
            <w:r>
              <w:rPr>
                <w:bCs/>
              </w:rPr>
              <w:t>“</w:t>
            </w:r>
            <w:r w:rsidRPr="00F5236D">
              <w:rPr>
                <w:bCs/>
              </w:rPr>
              <w:t>Nodokļu maksātāji un nodokļu maksātāju struktūrvienību reģistrs</w:t>
            </w:r>
            <w:r>
              <w:rPr>
                <w:bCs/>
              </w:rPr>
              <w:t xml:space="preserve"> </w:t>
            </w:r>
            <w:r w:rsidRPr="00113935">
              <w:rPr>
                <w:bCs/>
                <w:u w:val="single"/>
              </w:rPr>
              <w:t>(dati  par juridiskām personām)</w:t>
            </w:r>
            <w:r>
              <w:rPr>
                <w:bCs/>
              </w:rPr>
              <w:t>”</w:t>
            </w:r>
          </w:p>
        </w:tc>
      </w:tr>
      <w:tr w:rsidR="00155FB0" w:rsidRPr="00712B66" w14:paraId="5DA8FE04" w14:textId="77777777" w:rsidTr="00566C52">
        <w:tc>
          <w:tcPr>
            <w:tcW w:w="708" w:type="dxa"/>
          </w:tcPr>
          <w:p w14:paraId="158D6125" w14:textId="5243039C" w:rsidR="00155FB0" w:rsidRDefault="00155FB0" w:rsidP="00155FB0">
            <w:pPr>
              <w:jc w:val="center"/>
            </w:pPr>
            <w:r>
              <w:lastRenderedPageBreak/>
              <w:t>1</w:t>
            </w:r>
            <w:r w:rsidR="00C51D5B">
              <w:t>9</w:t>
            </w:r>
            <w:r>
              <w:t>.</w:t>
            </w:r>
          </w:p>
        </w:tc>
        <w:tc>
          <w:tcPr>
            <w:tcW w:w="2094" w:type="dxa"/>
          </w:tcPr>
          <w:p w14:paraId="6BD49218" w14:textId="77777777" w:rsidR="00155FB0" w:rsidRDefault="00155FB0" w:rsidP="00155FB0">
            <w:pPr>
              <w:pStyle w:val="naisc"/>
              <w:spacing w:before="0" w:after="0"/>
              <w:ind w:firstLine="5"/>
              <w:jc w:val="left"/>
            </w:pPr>
          </w:p>
        </w:tc>
        <w:tc>
          <w:tcPr>
            <w:tcW w:w="4961" w:type="dxa"/>
          </w:tcPr>
          <w:p w14:paraId="54F591C3" w14:textId="77777777" w:rsidR="00155FB0" w:rsidRDefault="00155FB0" w:rsidP="00155FB0">
            <w:pPr>
              <w:ind w:firstLine="720"/>
              <w:jc w:val="both"/>
            </w:pPr>
            <w:r>
              <w:t>10. Saskaņā ar Gada pārskatu un konsolidēto gada pārskatu likuma 98.panta pirmo daļu Latvijas Republikas Uzņēmumu reģistrs nodrošina saņemto dokumentu publisku pieejamību.</w:t>
            </w:r>
          </w:p>
          <w:p w14:paraId="6BE5C72B" w14:textId="77777777" w:rsidR="00155FB0" w:rsidRPr="00DC72A3" w:rsidRDefault="00155FB0" w:rsidP="00155FB0">
            <w:pPr>
              <w:spacing w:after="120"/>
              <w:ind w:firstLine="720"/>
              <w:jc w:val="both"/>
            </w:pPr>
            <w:r>
              <w:t>Lūdzam precizēt informatīvā ziņojuma pielikumu un kā kompetento iestādi par uzņēmumu gada pārskatu datiem noteikt Latvijas Republikas Uzņēmumu reģistru.</w:t>
            </w:r>
          </w:p>
        </w:tc>
        <w:tc>
          <w:tcPr>
            <w:tcW w:w="2126" w:type="dxa"/>
          </w:tcPr>
          <w:p w14:paraId="6916BAF3" w14:textId="7AFB4956" w:rsidR="00155FB0" w:rsidRPr="00B9360D" w:rsidRDefault="00155FB0" w:rsidP="00155FB0">
            <w:pPr>
              <w:pStyle w:val="naisc"/>
              <w:spacing w:before="0" w:after="0"/>
              <w:rPr>
                <w:b/>
              </w:rPr>
            </w:pPr>
            <w:r>
              <w:rPr>
                <w:b/>
              </w:rPr>
              <w:t>Ņemts vērā.</w:t>
            </w:r>
          </w:p>
        </w:tc>
        <w:tc>
          <w:tcPr>
            <w:tcW w:w="5103" w:type="dxa"/>
          </w:tcPr>
          <w:p w14:paraId="280EDFB5" w14:textId="01AF83CC" w:rsidR="00155FB0" w:rsidRPr="00B9360D" w:rsidRDefault="00155FB0" w:rsidP="00155FB0">
            <w:pPr>
              <w:jc w:val="center"/>
            </w:pPr>
            <w:r>
              <w:t>Ņem</w:t>
            </w:r>
            <w:r w:rsidR="00195CDF">
              <w:t>o</w:t>
            </w:r>
            <w:r>
              <w:t xml:space="preserve">t vērā, ka Latvijas Republikas Uzņēmumu reģistrs ir publicējis uzņēmumu gada pārskatus atvērto datu veidā, no pielikuma svītrota </w:t>
            </w:r>
            <w:r w:rsidR="00195CDF">
              <w:t xml:space="preserve">attiecīgā </w:t>
            </w:r>
            <w:r>
              <w:t>datu kopa</w:t>
            </w:r>
            <w:r w:rsidR="00195CDF">
              <w:t>.</w:t>
            </w:r>
          </w:p>
        </w:tc>
      </w:tr>
    </w:tbl>
    <w:p w14:paraId="0D7417EE" w14:textId="77777777" w:rsidR="003B71E0" w:rsidRPr="00712B66" w:rsidRDefault="003B71E0" w:rsidP="00DB7395">
      <w:pPr>
        <w:pStyle w:val="naisf"/>
        <w:spacing w:before="0" w:after="0"/>
        <w:ind w:firstLine="720"/>
      </w:pPr>
    </w:p>
    <w:sectPr w:rsidR="003B71E0" w:rsidRPr="00712B66" w:rsidSect="00156FD2">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707D" w14:textId="77777777" w:rsidR="00B2775B" w:rsidRDefault="00B2775B">
      <w:r>
        <w:separator/>
      </w:r>
    </w:p>
  </w:endnote>
  <w:endnote w:type="continuationSeparator" w:id="0">
    <w:p w14:paraId="4519CABC" w14:textId="77777777" w:rsidR="00B2775B" w:rsidRDefault="00B2775B">
      <w:r>
        <w:continuationSeparator/>
      </w:r>
    </w:p>
  </w:endnote>
  <w:endnote w:type="continuationNotice" w:id="1">
    <w:p w14:paraId="10F9DB7E" w14:textId="77777777" w:rsidR="00B2775B" w:rsidRDefault="00B27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C58B" w14:textId="77777777" w:rsidR="00C96D2C" w:rsidRDefault="00C96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3351" w14:textId="00C7C5E8" w:rsidR="006455E7" w:rsidRPr="00AE4768" w:rsidRDefault="00E16986" w:rsidP="00364BB6">
    <w:pPr>
      <w:pStyle w:val="Footer"/>
      <w:rPr>
        <w:sz w:val="20"/>
        <w:szCs w:val="20"/>
      </w:rPr>
    </w:pPr>
    <w:r w:rsidRPr="00E16986">
      <w:rPr>
        <w:sz w:val="20"/>
        <w:szCs w:val="20"/>
      </w:rPr>
      <w:t>VARAMIzzina_</w:t>
    </w:r>
    <w:r w:rsidR="005E4372" w:rsidRPr="005E4372">
      <w:rPr>
        <w:sz w:val="20"/>
        <w:szCs w:val="20"/>
      </w:rPr>
      <w:t>140921</w:t>
    </w:r>
    <w:r w:rsidRPr="00E16986">
      <w:rPr>
        <w:sz w:val="20"/>
        <w:szCs w:val="20"/>
      </w:rPr>
      <w:t>_Dati.608</w:t>
    </w:r>
    <w:r w:rsidR="00660E85" w:rsidRPr="008237DE">
      <w:rPr>
        <w:sz w:val="20"/>
        <w:szCs w:val="20"/>
      </w:rPr>
      <w:t>; Izziņa par atzinumos sniegtajiem iebildumiem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1DBF" w14:textId="30C668DD" w:rsidR="006455E7" w:rsidRPr="008237DE" w:rsidRDefault="00E16986" w:rsidP="00364BB6">
    <w:pPr>
      <w:pStyle w:val="Footer"/>
      <w:rPr>
        <w:sz w:val="20"/>
        <w:szCs w:val="20"/>
      </w:rPr>
    </w:pPr>
    <w:r w:rsidRPr="00E16986">
      <w:rPr>
        <w:sz w:val="20"/>
        <w:szCs w:val="20"/>
      </w:rPr>
      <w:t>VARAMIzzina_</w:t>
    </w:r>
    <w:r w:rsidR="00C96D2C" w:rsidRPr="00C96D2C">
      <w:rPr>
        <w:sz w:val="20"/>
        <w:szCs w:val="20"/>
      </w:rPr>
      <w:t>140921</w:t>
    </w:r>
    <w:r w:rsidRPr="00E16986">
      <w:rPr>
        <w:sz w:val="20"/>
        <w:szCs w:val="20"/>
      </w:rPr>
      <w:t>_Dati.608</w:t>
    </w:r>
    <w:r w:rsidR="008237DE" w:rsidRPr="008237DE">
      <w:rPr>
        <w:sz w:val="20"/>
        <w:szCs w:val="20"/>
      </w:rPr>
      <w:t>; Izziņa par atzinumos sniegtajiem iebildumiem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B83C7" w14:textId="77777777" w:rsidR="00B2775B" w:rsidRDefault="00B2775B">
      <w:r>
        <w:separator/>
      </w:r>
    </w:p>
  </w:footnote>
  <w:footnote w:type="continuationSeparator" w:id="0">
    <w:p w14:paraId="65873CE2" w14:textId="77777777" w:rsidR="00B2775B" w:rsidRDefault="00B2775B">
      <w:r>
        <w:continuationSeparator/>
      </w:r>
    </w:p>
  </w:footnote>
  <w:footnote w:type="continuationNotice" w:id="1">
    <w:p w14:paraId="3FF821C1" w14:textId="77777777" w:rsidR="00B2775B" w:rsidRDefault="00B277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7DB6"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23ABCC"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4D66"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4D57">
      <w:rPr>
        <w:rStyle w:val="PageNumber"/>
        <w:noProof/>
      </w:rPr>
      <w:t>11</w:t>
    </w:r>
    <w:r>
      <w:rPr>
        <w:rStyle w:val="PageNumber"/>
      </w:rPr>
      <w:fldChar w:fldCharType="end"/>
    </w:r>
  </w:p>
  <w:p w14:paraId="146AFEAD" w14:textId="77777777" w:rsidR="006455E7" w:rsidRDefault="00645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D62A" w14:textId="77777777" w:rsidR="00C96D2C" w:rsidRDefault="00C96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59C"/>
    <w:multiLevelType w:val="hybridMultilevel"/>
    <w:tmpl w:val="88BAE9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125D2D"/>
    <w:multiLevelType w:val="multilevel"/>
    <w:tmpl w:val="898A1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132502"/>
    <w:multiLevelType w:val="hybridMultilevel"/>
    <w:tmpl w:val="BB80A782"/>
    <w:lvl w:ilvl="0" w:tplc="970C0BAA">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AE7B52"/>
    <w:multiLevelType w:val="hybridMultilevel"/>
    <w:tmpl w:val="83B65CD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9534BB7"/>
    <w:multiLevelType w:val="hybridMultilevel"/>
    <w:tmpl w:val="F60CCB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37FD1E31"/>
    <w:multiLevelType w:val="hybridMultilevel"/>
    <w:tmpl w:val="36E67488"/>
    <w:lvl w:ilvl="0" w:tplc="FFFFFFFF">
      <w:start w:val="1"/>
      <w:numFmt w:val="decimal"/>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6" w15:restartNumberingAfterBreak="0">
    <w:nsid w:val="491D2E65"/>
    <w:multiLevelType w:val="hybridMultilevel"/>
    <w:tmpl w:val="49A253F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EC93303"/>
    <w:multiLevelType w:val="hybridMultilevel"/>
    <w:tmpl w:val="5E8C7F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2"/>
  </w:num>
  <w:num w:numId="8">
    <w:abstractNumId w:val="1"/>
  </w:num>
  <w:num w:numId="9">
    <w:abstractNumId w:val="3"/>
  </w:num>
  <w:num w:numId="10">
    <w:abstractNumId w:val="0"/>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CE4"/>
    <w:rsid w:val="00000393"/>
    <w:rsid w:val="0000101F"/>
    <w:rsid w:val="00001F89"/>
    <w:rsid w:val="00003C53"/>
    <w:rsid w:val="0000456E"/>
    <w:rsid w:val="00004D89"/>
    <w:rsid w:val="000055EA"/>
    <w:rsid w:val="00006BF1"/>
    <w:rsid w:val="00010C94"/>
    <w:rsid w:val="0001118D"/>
    <w:rsid w:val="0001131F"/>
    <w:rsid w:val="00011663"/>
    <w:rsid w:val="0001249F"/>
    <w:rsid w:val="000125C0"/>
    <w:rsid w:val="0001270C"/>
    <w:rsid w:val="000136AA"/>
    <w:rsid w:val="00013B4C"/>
    <w:rsid w:val="00013B9D"/>
    <w:rsid w:val="00013BF6"/>
    <w:rsid w:val="0001554C"/>
    <w:rsid w:val="00015B94"/>
    <w:rsid w:val="00015DE5"/>
    <w:rsid w:val="00016449"/>
    <w:rsid w:val="000172E2"/>
    <w:rsid w:val="00017449"/>
    <w:rsid w:val="00020249"/>
    <w:rsid w:val="00022338"/>
    <w:rsid w:val="0002296A"/>
    <w:rsid w:val="00022B0F"/>
    <w:rsid w:val="00022B9A"/>
    <w:rsid w:val="00023967"/>
    <w:rsid w:val="00023FD6"/>
    <w:rsid w:val="0002416A"/>
    <w:rsid w:val="00024CCD"/>
    <w:rsid w:val="00024D20"/>
    <w:rsid w:val="000253DB"/>
    <w:rsid w:val="00027826"/>
    <w:rsid w:val="000278E7"/>
    <w:rsid w:val="00027A63"/>
    <w:rsid w:val="00027F9D"/>
    <w:rsid w:val="000304D6"/>
    <w:rsid w:val="000307B5"/>
    <w:rsid w:val="00032457"/>
    <w:rsid w:val="00032531"/>
    <w:rsid w:val="0003413A"/>
    <w:rsid w:val="000342E2"/>
    <w:rsid w:val="00034957"/>
    <w:rsid w:val="000349CA"/>
    <w:rsid w:val="0003557A"/>
    <w:rsid w:val="00035C06"/>
    <w:rsid w:val="000366DF"/>
    <w:rsid w:val="000376CD"/>
    <w:rsid w:val="00040A5C"/>
    <w:rsid w:val="00041BA0"/>
    <w:rsid w:val="00042809"/>
    <w:rsid w:val="00043005"/>
    <w:rsid w:val="0004345F"/>
    <w:rsid w:val="00044026"/>
    <w:rsid w:val="00046075"/>
    <w:rsid w:val="00046CAD"/>
    <w:rsid w:val="00046F2E"/>
    <w:rsid w:val="00046F5C"/>
    <w:rsid w:val="00047385"/>
    <w:rsid w:val="00050554"/>
    <w:rsid w:val="00051F3F"/>
    <w:rsid w:val="00052484"/>
    <w:rsid w:val="00053706"/>
    <w:rsid w:val="000537A4"/>
    <w:rsid w:val="00053E04"/>
    <w:rsid w:val="000540A8"/>
    <w:rsid w:val="00054A5D"/>
    <w:rsid w:val="0005612D"/>
    <w:rsid w:val="000579E6"/>
    <w:rsid w:val="00060715"/>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3D1D"/>
    <w:rsid w:val="000845E2"/>
    <w:rsid w:val="00084B11"/>
    <w:rsid w:val="00085322"/>
    <w:rsid w:val="0008629C"/>
    <w:rsid w:val="0008656F"/>
    <w:rsid w:val="00086AB9"/>
    <w:rsid w:val="00086BCE"/>
    <w:rsid w:val="00086F36"/>
    <w:rsid w:val="00090168"/>
    <w:rsid w:val="00090C76"/>
    <w:rsid w:val="00091033"/>
    <w:rsid w:val="00091F10"/>
    <w:rsid w:val="0009302B"/>
    <w:rsid w:val="00093EC2"/>
    <w:rsid w:val="000958A2"/>
    <w:rsid w:val="000965E7"/>
    <w:rsid w:val="00097894"/>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2BB8"/>
    <w:rsid w:val="000B3171"/>
    <w:rsid w:val="000B34A5"/>
    <w:rsid w:val="000B4746"/>
    <w:rsid w:val="000B5365"/>
    <w:rsid w:val="000B5784"/>
    <w:rsid w:val="000B6F9C"/>
    <w:rsid w:val="000B7966"/>
    <w:rsid w:val="000B7CB1"/>
    <w:rsid w:val="000C0AE6"/>
    <w:rsid w:val="000C0D0D"/>
    <w:rsid w:val="000C2555"/>
    <w:rsid w:val="000C3545"/>
    <w:rsid w:val="000C498A"/>
    <w:rsid w:val="000C4C16"/>
    <w:rsid w:val="000C4F00"/>
    <w:rsid w:val="000C56FC"/>
    <w:rsid w:val="000C7907"/>
    <w:rsid w:val="000C7A11"/>
    <w:rsid w:val="000C7F5E"/>
    <w:rsid w:val="000D00AC"/>
    <w:rsid w:val="000D0AED"/>
    <w:rsid w:val="000D3602"/>
    <w:rsid w:val="000D4D89"/>
    <w:rsid w:val="000D6BBD"/>
    <w:rsid w:val="000D7751"/>
    <w:rsid w:val="000D7C23"/>
    <w:rsid w:val="000E0A16"/>
    <w:rsid w:val="000E1455"/>
    <w:rsid w:val="000E1BFA"/>
    <w:rsid w:val="000E2142"/>
    <w:rsid w:val="000E21D0"/>
    <w:rsid w:val="000E2A38"/>
    <w:rsid w:val="000E2ACC"/>
    <w:rsid w:val="000E38E9"/>
    <w:rsid w:val="000E5509"/>
    <w:rsid w:val="000E585F"/>
    <w:rsid w:val="000E66F8"/>
    <w:rsid w:val="000F054F"/>
    <w:rsid w:val="000F079D"/>
    <w:rsid w:val="000F0D9D"/>
    <w:rsid w:val="000F1D56"/>
    <w:rsid w:val="000F1D59"/>
    <w:rsid w:val="000F2534"/>
    <w:rsid w:val="000F28D9"/>
    <w:rsid w:val="000F2D43"/>
    <w:rsid w:val="000F2F9A"/>
    <w:rsid w:val="000F368F"/>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0D27"/>
    <w:rsid w:val="00112482"/>
    <w:rsid w:val="0011254D"/>
    <w:rsid w:val="00113935"/>
    <w:rsid w:val="001139C2"/>
    <w:rsid w:val="00114559"/>
    <w:rsid w:val="00114EA9"/>
    <w:rsid w:val="00115A16"/>
    <w:rsid w:val="00115ED0"/>
    <w:rsid w:val="0011683C"/>
    <w:rsid w:val="001179E8"/>
    <w:rsid w:val="0012021B"/>
    <w:rsid w:val="0012222D"/>
    <w:rsid w:val="001230BC"/>
    <w:rsid w:val="001255E6"/>
    <w:rsid w:val="0013053A"/>
    <w:rsid w:val="0013066A"/>
    <w:rsid w:val="001315EF"/>
    <w:rsid w:val="001316B7"/>
    <w:rsid w:val="00131F39"/>
    <w:rsid w:val="00132375"/>
    <w:rsid w:val="00132E73"/>
    <w:rsid w:val="00133505"/>
    <w:rsid w:val="00134188"/>
    <w:rsid w:val="00137403"/>
    <w:rsid w:val="00140706"/>
    <w:rsid w:val="0014122A"/>
    <w:rsid w:val="00141E85"/>
    <w:rsid w:val="0014305E"/>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5FB0"/>
    <w:rsid w:val="00156D90"/>
    <w:rsid w:val="00156E9F"/>
    <w:rsid w:val="00156FD2"/>
    <w:rsid w:val="00157A57"/>
    <w:rsid w:val="00157DB6"/>
    <w:rsid w:val="00157EC2"/>
    <w:rsid w:val="00162A68"/>
    <w:rsid w:val="00162E08"/>
    <w:rsid w:val="001633F1"/>
    <w:rsid w:val="00163673"/>
    <w:rsid w:val="0016531E"/>
    <w:rsid w:val="0016565C"/>
    <w:rsid w:val="00166314"/>
    <w:rsid w:val="00166746"/>
    <w:rsid w:val="001672C1"/>
    <w:rsid w:val="00167590"/>
    <w:rsid w:val="00167918"/>
    <w:rsid w:val="00167C1E"/>
    <w:rsid w:val="0017043B"/>
    <w:rsid w:val="001706A1"/>
    <w:rsid w:val="001708DD"/>
    <w:rsid w:val="00170914"/>
    <w:rsid w:val="00170DF2"/>
    <w:rsid w:val="00170E83"/>
    <w:rsid w:val="00174841"/>
    <w:rsid w:val="00175945"/>
    <w:rsid w:val="001761FD"/>
    <w:rsid w:val="001776E1"/>
    <w:rsid w:val="00177D61"/>
    <w:rsid w:val="00180125"/>
    <w:rsid w:val="001808CA"/>
    <w:rsid w:val="00180923"/>
    <w:rsid w:val="00180CE5"/>
    <w:rsid w:val="00181BAA"/>
    <w:rsid w:val="00181D2D"/>
    <w:rsid w:val="0018210A"/>
    <w:rsid w:val="00182DE0"/>
    <w:rsid w:val="0018386C"/>
    <w:rsid w:val="00183DCE"/>
    <w:rsid w:val="001843F7"/>
    <w:rsid w:val="00184479"/>
    <w:rsid w:val="0018472C"/>
    <w:rsid w:val="00184838"/>
    <w:rsid w:val="001850B4"/>
    <w:rsid w:val="00185755"/>
    <w:rsid w:val="00185C6B"/>
    <w:rsid w:val="00187398"/>
    <w:rsid w:val="00187F73"/>
    <w:rsid w:val="00187FB0"/>
    <w:rsid w:val="001902E9"/>
    <w:rsid w:val="00190327"/>
    <w:rsid w:val="001907C8"/>
    <w:rsid w:val="00190A0A"/>
    <w:rsid w:val="001926F2"/>
    <w:rsid w:val="00193BCE"/>
    <w:rsid w:val="00194B87"/>
    <w:rsid w:val="0019569A"/>
    <w:rsid w:val="00195962"/>
    <w:rsid w:val="00195CDF"/>
    <w:rsid w:val="00197533"/>
    <w:rsid w:val="001977E7"/>
    <w:rsid w:val="00197CCA"/>
    <w:rsid w:val="001A0D8A"/>
    <w:rsid w:val="001A192D"/>
    <w:rsid w:val="001A48B2"/>
    <w:rsid w:val="001A7C72"/>
    <w:rsid w:val="001B084B"/>
    <w:rsid w:val="001B0CEC"/>
    <w:rsid w:val="001B0FFC"/>
    <w:rsid w:val="001B15E3"/>
    <w:rsid w:val="001B1CF2"/>
    <w:rsid w:val="001B4388"/>
    <w:rsid w:val="001B463E"/>
    <w:rsid w:val="001B49E0"/>
    <w:rsid w:val="001B5377"/>
    <w:rsid w:val="001B6553"/>
    <w:rsid w:val="001B6647"/>
    <w:rsid w:val="001B6A47"/>
    <w:rsid w:val="001B6B0A"/>
    <w:rsid w:val="001B6C3C"/>
    <w:rsid w:val="001C0824"/>
    <w:rsid w:val="001C0B83"/>
    <w:rsid w:val="001C0DD5"/>
    <w:rsid w:val="001C1510"/>
    <w:rsid w:val="001C1989"/>
    <w:rsid w:val="001C2363"/>
    <w:rsid w:val="001C28FD"/>
    <w:rsid w:val="001C3349"/>
    <w:rsid w:val="001C4ABA"/>
    <w:rsid w:val="001C546B"/>
    <w:rsid w:val="001C5EA2"/>
    <w:rsid w:val="001C6608"/>
    <w:rsid w:val="001C67AB"/>
    <w:rsid w:val="001C6A9A"/>
    <w:rsid w:val="001C6C7D"/>
    <w:rsid w:val="001C6CB1"/>
    <w:rsid w:val="001D1CB1"/>
    <w:rsid w:val="001D1F4B"/>
    <w:rsid w:val="001D2AC0"/>
    <w:rsid w:val="001D2DBA"/>
    <w:rsid w:val="001D2FD0"/>
    <w:rsid w:val="001D3830"/>
    <w:rsid w:val="001D3BA6"/>
    <w:rsid w:val="001D5564"/>
    <w:rsid w:val="001D6FAA"/>
    <w:rsid w:val="001D70FA"/>
    <w:rsid w:val="001D7BA9"/>
    <w:rsid w:val="001E039D"/>
    <w:rsid w:val="001E22E7"/>
    <w:rsid w:val="001E2714"/>
    <w:rsid w:val="001E398C"/>
    <w:rsid w:val="001E410A"/>
    <w:rsid w:val="001E4456"/>
    <w:rsid w:val="001E4DDC"/>
    <w:rsid w:val="001E774F"/>
    <w:rsid w:val="001E7921"/>
    <w:rsid w:val="001E7C1D"/>
    <w:rsid w:val="001E7D15"/>
    <w:rsid w:val="001F073F"/>
    <w:rsid w:val="001F3009"/>
    <w:rsid w:val="001F3358"/>
    <w:rsid w:val="001F35CB"/>
    <w:rsid w:val="001F390F"/>
    <w:rsid w:val="001F5CD1"/>
    <w:rsid w:val="001F7257"/>
    <w:rsid w:val="001F7739"/>
    <w:rsid w:val="0020011B"/>
    <w:rsid w:val="00201495"/>
    <w:rsid w:val="002015A0"/>
    <w:rsid w:val="0020187E"/>
    <w:rsid w:val="00201DC6"/>
    <w:rsid w:val="00202375"/>
    <w:rsid w:val="002025EA"/>
    <w:rsid w:val="00202884"/>
    <w:rsid w:val="00202E44"/>
    <w:rsid w:val="00203556"/>
    <w:rsid w:val="00204D0F"/>
    <w:rsid w:val="00204DB6"/>
    <w:rsid w:val="002056ED"/>
    <w:rsid w:val="00205C3A"/>
    <w:rsid w:val="0020762D"/>
    <w:rsid w:val="00211793"/>
    <w:rsid w:val="00211C11"/>
    <w:rsid w:val="00212345"/>
    <w:rsid w:val="00214809"/>
    <w:rsid w:val="002149A1"/>
    <w:rsid w:val="00214E7A"/>
    <w:rsid w:val="00215BFE"/>
    <w:rsid w:val="00215C44"/>
    <w:rsid w:val="00216E73"/>
    <w:rsid w:val="00217247"/>
    <w:rsid w:val="0021774C"/>
    <w:rsid w:val="00217FF6"/>
    <w:rsid w:val="00220C19"/>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9A1"/>
    <w:rsid w:val="00232F90"/>
    <w:rsid w:val="0023309C"/>
    <w:rsid w:val="0023339B"/>
    <w:rsid w:val="0023469C"/>
    <w:rsid w:val="00234C71"/>
    <w:rsid w:val="00235511"/>
    <w:rsid w:val="002366E0"/>
    <w:rsid w:val="00236DE1"/>
    <w:rsid w:val="00236F27"/>
    <w:rsid w:val="002372EE"/>
    <w:rsid w:val="002372FD"/>
    <w:rsid w:val="0023764D"/>
    <w:rsid w:val="002415BC"/>
    <w:rsid w:val="00242AAD"/>
    <w:rsid w:val="002430E6"/>
    <w:rsid w:val="002434B2"/>
    <w:rsid w:val="00243B62"/>
    <w:rsid w:val="002442F4"/>
    <w:rsid w:val="002445EA"/>
    <w:rsid w:val="00244ECE"/>
    <w:rsid w:val="00244FC5"/>
    <w:rsid w:val="00245AF4"/>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5913"/>
    <w:rsid w:val="002675EA"/>
    <w:rsid w:val="00267BC5"/>
    <w:rsid w:val="00267CBE"/>
    <w:rsid w:val="00267E0B"/>
    <w:rsid w:val="00270680"/>
    <w:rsid w:val="00271103"/>
    <w:rsid w:val="002720B8"/>
    <w:rsid w:val="002721FA"/>
    <w:rsid w:val="0027230C"/>
    <w:rsid w:val="00272536"/>
    <w:rsid w:val="00272B99"/>
    <w:rsid w:val="0027380D"/>
    <w:rsid w:val="0027468E"/>
    <w:rsid w:val="00274826"/>
    <w:rsid w:val="00275005"/>
    <w:rsid w:val="002752AB"/>
    <w:rsid w:val="002756D6"/>
    <w:rsid w:val="0027573C"/>
    <w:rsid w:val="0027681A"/>
    <w:rsid w:val="002815D0"/>
    <w:rsid w:val="002820A7"/>
    <w:rsid w:val="00283B82"/>
    <w:rsid w:val="00283E13"/>
    <w:rsid w:val="00286478"/>
    <w:rsid w:val="00287BDC"/>
    <w:rsid w:val="00287CC9"/>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4CDE"/>
    <w:rsid w:val="002A52C9"/>
    <w:rsid w:val="002A56BC"/>
    <w:rsid w:val="002A5C53"/>
    <w:rsid w:val="002A6401"/>
    <w:rsid w:val="002A6AD6"/>
    <w:rsid w:val="002A72CC"/>
    <w:rsid w:val="002A76AB"/>
    <w:rsid w:val="002A7856"/>
    <w:rsid w:val="002A7A4F"/>
    <w:rsid w:val="002A7AFE"/>
    <w:rsid w:val="002B01DB"/>
    <w:rsid w:val="002B09C0"/>
    <w:rsid w:val="002B13B3"/>
    <w:rsid w:val="002B183D"/>
    <w:rsid w:val="002B1DBF"/>
    <w:rsid w:val="002B207F"/>
    <w:rsid w:val="002B23E1"/>
    <w:rsid w:val="002B2A48"/>
    <w:rsid w:val="002B2BEE"/>
    <w:rsid w:val="002B31AD"/>
    <w:rsid w:val="002B3EA7"/>
    <w:rsid w:val="002B4BAE"/>
    <w:rsid w:val="002B538B"/>
    <w:rsid w:val="002B53B6"/>
    <w:rsid w:val="002B581B"/>
    <w:rsid w:val="002B66A9"/>
    <w:rsid w:val="002C2892"/>
    <w:rsid w:val="002C2B4D"/>
    <w:rsid w:val="002C4707"/>
    <w:rsid w:val="002C58AB"/>
    <w:rsid w:val="002C6D84"/>
    <w:rsid w:val="002C7D21"/>
    <w:rsid w:val="002D1564"/>
    <w:rsid w:val="002D1CA4"/>
    <w:rsid w:val="002D2C09"/>
    <w:rsid w:val="002D2C45"/>
    <w:rsid w:val="002D41AA"/>
    <w:rsid w:val="002D4969"/>
    <w:rsid w:val="002D4EE1"/>
    <w:rsid w:val="002D4F49"/>
    <w:rsid w:val="002D778E"/>
    <w:rsid w:val="002E04D7"/>
    <w:rsid w:val="002E06DD"/>
    <w:rsid w:val="002E171A"/>
    <w:rsid w:val="002E2A24"/>
    <w:rsid w:val="002E3483"/>
    <w:rsid w:val="002E3D66"/>
    <w:rsid w:val="002E3F11"/>
    <w:rsid w:val="002E4023"/>
    <w:rsid w:val="002E4B11"/>
    <w:rsid w:val="002E4F70"/>
    <w:rsid w:val="002E5886"/>
    <w:rsid w:val="002E5AD3"/>
    <w:rsid w:val="002E635D"/>
    <w:rsid w:val="002E7562"/>
    <w:rsid w:val="002F071F"/>
    <w:rsid w:val="002F16D5"/>
    <w:rsid w:val="002F1A90"/>
    <w:rsid w:val="002F1C2F"/>
    <w:rsid w:val="002F1D0F"/>
    <w:rsid w:val="002F3D1C"/>
    <w:rsid w:val="002F4D57"/>
    <w:rsid w:val="002F4EA1"/>
    <w:rsid w:val="002F52DE"/>
    <w:rsid w:val="002F55C1"/>
    <w:rsid w:val="002F797A"/>
    <w:rsid w:val="00300015"/>
    <w:rsid w:val="00300483"/>
    <w:rsid w:val="00301C91"/>
    <w:rsid w:val="00303F2B"/>
    <w:rsid w:val="0030453B"/>
    <w:rsid w:val="00304607"/>
    <w:rsid w:val="0030467A"/>
    <w:rsid w:val="003046A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359A"/>
    <w:rsid w:val="00323DD7"/>
    <w:rsid w:val="00324D5B"/>
    <w:rsid w:val="00325045"/>
    <w:rsid w:val="00325D91"/>
    <w:rsid w:val="003267B4"/>
    <w:rsid w:val="00331193"/>
    <w:rsid w:val="003333D4"/>
    <w:rsid w:val="00334951"/>
    <w:rsid w:val="00336411"/>
    <w:rsid w:val="0033678D"/>
    <w:rsid w:val="0033720D"/>
    <w:rsid w:val="003373E8"/>
    <w:rsid w:val="0034053F"/>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5EDA"/>
    <w:rsid w:val="00366796"/>
    <w:rsid w:val="003668DF"/>
    <w:rsid w:val="00367688"/>
    <w:rsid w:val="00372221"/>
    <w:rsid w:val="00372CF2"/>
    <w:rsid w:val="00374C7E"/>
    <w:rsid w:val="00377353"/>
    <w:rsid w:val="0037736B"/>
    <w:rsid w:val="00377FC0"/>
    <w:rsid w:val="00381AE4"/>
    <w:rsid w:val="00381F57"/>
    <w:rsid w:val="0038216E"/>
    <w:rsid w:val="003822E5"/>
    <w:rsid w:val="0038306F"/>
    <w:rsid w:val="003830B8"/>
    <w:rsid w:val="00383262"/>
    <w:rsid w:val="00385DD7"/>
    <w:rsid w:val="003A157A"/>
    <w:rsid w:val="003A283F"/>
    <w:rsid w:val="003A2A16"/>
    <w:rsid w:val="003A2FDD"/>
    <w:rsid w:val="003A3C43"/>
    <w:rsid w:val="003A4F4A"/>
    <w:rsid w:val="003A5CCC"/>
    <w:rsid w:val="003A70FF"/>
    <w:rsid w:val="003A74D2"/>
    <w:rsid w:val="003A756B"/>
    <w:rsid w:val="003A7902"/>
    <w:rsid w:val="003B23D7"/>
    <w:rsid w:val="003B34CB"/>
    <w:rsid w:val="003B3AB4"/>
    <w:rsid w:val="003B3CA8"/>
    <w:rsid w:val="003B45D5"/>
    <w:rsid w:val="003B52FE"/>
    <w:rsid w:val="003B572A"/>
    <w:rsid w:val="003B6325"/>
    <w:rsid w:val="003B64E9"/>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0EB4"/>
    <w:rsid w:val="003F1200"/>
    <w:rsid w:val="003F1421"/>
    <w:rsid w:val="003F1689"/>
    <w:rsid w:val="003F1844"/>
    <w:rsid w:val="003F241E"/>
    <w:rsid w:val="003F28C0"/>
    <w:rsid w:val="003F52B2"/>
    <w:rsid w:val="003F716E"/>
    <w:rsid w:val="00400061"/>
    <w:rsid w:val="0040068A"/>
    <w:rsid w:val="00400813"/>
    <w:rsid w:val="004013AD"/>
    <w:rsid w:val="00402215"/>
    <w:rsid w:val="004029AD"/>
    <w:rsid w:val="00402C35"/>
    <w:rsid w:val="0040405B"/>
    <w:rsid w:val="00404195"/>
    <w:rsid w:val="00404211"/>
    <w:rsid w:val="004042A4"/>
    <w:rsid w:val="00404346"/>
    <w:rsid w:val="004043F3"/>
    <w:rsid w:val="00404DAA"/>
    <w:rsid w:val="00404DDD"/>
    <w:rsid w:val="0040578B"/>
    <w:rsid w:val="004065D6"/>
    <w:rsid w:val="0040687D"/>
    <w:rsid w:val="00406C0B"/>
    <w:rsid w:val="0040709D"/>
    <w:rsid w:val="0040713F"/>
    <w:rsid w:val="004075A3"/>
    <w:rsid w:val="00410C48"/>
    <w:rsid w:val="00413953"/>
    <w:rsid w:val="0041482C"/>
    <w:rsid w:val="00416277"/>
    <w:rsid w:val="00416E24"/>
    <w:rsid w:val="0042063D"/>
    <w:rsid w:val="00422B23"/>
    <w:rsid w:val="00423A60"/>
    <w:rsid w:val="0042651C"/>
    <w:rsid w:val="00426E9B"/>
    <w:rsid w:val="00427366"/>
    <w:rsid w:val="004278B3"/>
    <w:rsid w:val="00427D55"/>
    <w:rsid w:val="004309D4"/>
    <w:rsid w:val="00431B91"/>
    <w:rsid w:val="0043233C"/>
    <w:rsid w:val="004345A6"/>
    <w:rsid w:val="00435126"/>
    <w:rsid w:val="00435B2F"/>
    <w:rsid w:val="00435E03"/>
    <w:rsid w:val="004373E1"/>
    <w:rsid w:val="004374A3"/>
    <w:rsid w:val="00437A7E"/>
    <w:rsid w:val="00437B6C"/>
    <w:rsid w:val="00440144"/>
    <w:rsid w:val="0044064E"/>
    <w:rsid w:val="00440805"/>
    <w:rsid w:val="004412E1"/>
    <w:rsid w:val="00441554"/>
    <w:rsid w:val="00442E34"/>
    <w:rsid w:val="00442E48"/>
    <w:rsid w:val="00443DCD"/>
    <w:rsid w:val="00443E7E"/>
    <w:rsid w:val="00444C06"/>
    <w:rsid w:val="004454DF"/>
    <w:rsid w:val="00445BAC"/>
    <w:rsid w:val="004464E6"/>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8D7"/>
    <w:rsid w:val="00464B48"/>
    <w:rsid w:val="00465231"/>
    <w:rsid w:val="004662AD"/>
    <w:rsid w:val="00466516"/>
    <w:rsid w:val="00467B65"/>
    <w:rsid w:val="00471EA5"/>
    <w:rsid w:val="004720C9"/>
    <w:rsid w:val="00472257"/>
    <w:rsid w:val="0047284A"/>
    <w:rsid w:val="00472E49"/>
    <w:rsid w:val="004732BB"/>
    <w:rsid w:val="00474C60"/>
    <w:rsid w:val="00475944"/>
    <w:rsid w:val="00475DF0"/>
    <w:rsid w:val="00476525"/>
    <w:rsid w:val="004772E2"/>
    <w:rsid w:val="0047739F"/>
    <w:rsid w:val="00477F97"/>
    <w:rsid w:val="00480A2D"/>
    <w:rsid w:val="00480AFB"/>
    <w:rsid w:val="00480EA4"/>
    <w:rsid w:val="00481247"/>
    <w:rsid w:val="004828DC"/>
    <w:rsid w:val="00482FF7"/>
    <w:rsid w:val="00483098"/>
    <w:rsid w:val="00483AFB"/>
    <w:rsid w:val="0048402B"/>
    <w:rsid w:val="0048414A"/>
    <w:rsid w:val="004852B3"/>
    <w:rsid w:val="00485C56"/>
    <w:rsid w:val="00486B79"/>
    <w:rsid w:val="00486CA2"/>
    <w:rsid w:val="00486D22"/>
    <w:rsid w:val="00490B25"/>
    <w:rsid w:val="00490FD6"/>
    <w:rsid w:val="004911C4"/>
    <w:rsid w:val="00494CC8"/>
    <w:rsid w:val="004955E7"/>
    <w:rsid w:val="0049589C"/>
    <w:rsid w:val="004959D8"/>
    <w:rsid w:val="00495EF1"/>
    <w:rsid w:val="00496C35"/>
    <w:rsid w:val="00496ED4"/>
    <w:rsid w:val="00497D4A"/>
    <w:rsid w:val="004A0441"/>
    <w:rsid w:val="004A084C"/>
    <w:rsid w:val="004A15B3"/>
    <w:rsid w:val="004A1657"/>
    <w:rsid w:val="004A1D01"/>
    <w:rsid w:val="004A2A54"/>
    <w:rsid w:val="004A2EF3"/>
    <w:rsid w:val="004A3B0D"/>
    <w:rsid w:val="004A52F5"/>
    <w:rsid w:val="004A5D3A"/>
    <w:rsid w:val="004A6897"/>
    <w:rsid w:val="004A692B"/>
    <w:rsid w:val="004A6EB6"/>
    <w:rsid w:val="004A794C"/>
    <w:rsid w:val="004B23CD"/>
    <w:rsid w:val="004B296B"/>
    <w:rsid w:val="004B3EC7"/>
    <w:rsid w:val="004B5664"/>
    <w:rsid w:val="004C2107"/>
    <w:rsid w:val="004C4A89"/>
    <w:rsid w:val="004C5FC6"/>
    <w:rsid w:val="004C6435"/>
    <w:rsid w:val="004C649B"/>
    <w:rsid w:val="004C71CB"/>
    <w:rsid w:val="004C7B9C"/>
    <w:rsid w:val="004C7D55"/>
    <w:rsid w:val="004D06C4"/>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E7BAF"/>
    <w:rsid w:val="004E7F1B"/>
    <w:rsid w:val="004F0070"/>
    <w:rsid w:val="004F0468"/>
    <w:rsid w:val="004F0B54"/>
    <w:rsid w:val="004F0C51"/>
    <w:rsid w:val="004F263C"/>
    <w:rsid w:val="004F2BB1"/>
    <w:rsid w:val="004F2EC7"/>
    <w:rsid w:val="004F3CE8"/>
    <w:rsid w:val="004F6BFB"/>
    <w:rsid w:val="004F7E4A"/>
    <w:rsid w:val="0050147C"/>
    <w:rsid w:val="0050182B"/>
    <w:rsid w:val="00502579"/>
    <w:rsid w:val="005029F7"/>
    <w:rsid w:val="0050310D"/>
    <w:rsid w:val="00503D4C"/>
    <w:rsid w:val="00504C0C"/>
    <w:rsid w:val="00504E48"/>
    <w:rsid w:val="005056F0"/>
    <w:rsid w:val="005070FF"/>
    <w:rsid w:val="00512BBC"/>
    <w:rsid w:val="005134FB"/>
    <w:rsid w:val="005135FD"/>
    <w:rsid w:val="0051366C"/>
    <w:rsid w:val="00515FD5"/>
    <w:rsid w:val="0051684F"/>
    <w:rsid w:val="00516A92"/>
    <w:rsid w:val="00516B9F"/>
    <w:rsid w:val="00517693"/>
    <w:rsid w:val="005205AB"/>
    <w:rsid w:val="00522C89"/>
    <w:rsid w:val="00523378"/>
    <w:rsid w:val="0052550F"/>
    <w:rsid w:val="00526C0F"/>
    <w:rsid w:val="0052702A"/>
    <w:rsid w:val="00530397"/>
    <w:rsid w:val="0053041C"/>
    <w:rsid w:val="00530F73"/>
    <w:rsid w:val="00532B7A"/>
    <w:rsid w:val="00533B8E"/>
    <w:rsid w:val="00534A6C"/>
    <w:rsid w:val="00534F03"/>
    <w:rsid w:val="00535417"/>
    <w:rsid w:val="00535833"/>
    <w:rsid w:val="00536D28"/>
    <w:rsid w:val="005372C5"/>
    <w:rsid w:val="00537A26"/>
    <w:rsid w:val="00540E47"/>
    <w:rsid w:val="0054103E"/>
    <w:rsid w:val="00543283"/>
    <w:rsid w:val="0054364C"/>
    <w:rsid w:val="00546747"/>
    <w:rsid w:val="00547510"/>
    <w:rsid w:val="00547ECC"/>
    <w:rsid w:val="00550AD6"/>
    <w:rsid w:val="00551D5A"/>
    <w:rsid w:val="00551EC3"/>
    <w:rsid w:val="00552E08"/>
    <w:rsid w:val="00554A44"/>
    <w:rsid w:val="00554C53"/>
    <w:rsid w:val="00554F18"/>
    <w:rsid w:val="00555220"/>
    <w:rsid w:val="005555F0"/>
    <w:rsid w:val="00555739"/>
    <w:rsid w:val="00556E75"/>
    <w:rsid w:val="0056069A"/>
    <w:rsid w:val="00560C3B"/>
    <w:rsid w:val="00561EA1"/>
    <w:rsid w:val="005620CF"/>
    <w:rsid w:val="00562799"/>
    <w:rsid w:val="00564804"/>
    <w:rsid w:val="00565598"/>
    <w:rsid w:val="00565B5A"/>
    <w:rsid w:val="00566C52"/>
    <w:rsid w:val="00567E71"/>
    <w:rsid w:val="00567E8F"/>
    <w:rsid w:val="005702D6"/>
    <w:rsid w:val="005703ED"/>
    <w:rsid w:val="00572588"/>
    <w:rsid w:val="00573A50"/>
    <w:rsid w:val="005746D2"/>
    <w:rsid w:val="00574E8A"/>
    <w:rsid w:val="00577775"/>
    <w:rsid w:val="0058121A"/>
    <w:rsid w:val="00581863"/>
    <w:rsid w:val="00581EA3"/>
    <w:rsid w:val="0058205A"/>
    <w:rsid w:val="0058260B"/>
    <w:rsid w:val="00584D1E"/>
    <w:rsid w:val="00586795"/>
    <w:rsid w:val="00586B82"/>
    <w:rsid w:val="00586C9D"/>
    <w:rsid w:val="00587E13"/>
    <w:rsid w:val="00590509"/>
    <w:rsid w:val="005933AA"/>
    <w:rsid w:val="00593C22"/>
    <w:rsid w:val="005940AA"/>
    <w:rsid w:val="00594614"/>
    <w:rsid w:val="00594E10"/>
    <w:rsid w:val="00596306"/>
    <w:rsid w:val="00596487"/>
    <w:rsid w:val="005A0809"/>
    <w:rsid w:val="005A0B7D"/>
    <w:rsid w:val="005A0B91"/>
    <w:rsid w:val="005A1494"/>
    <w:rsid w:val="005A3590"/>
    <w:rsid w:val="005A4A1C"/>
    <w:rsid w:val="005A5BD8"/>
    <w:rsid w:val="005A692A"/>
    <w:rsid w:val="005A6AB8"/>
    <w:rsid w:val="005B11C2"/>
    <w:rsid w:val="005B180A"/>
    <w:rsid w:val="005B1821"/>
    <w:rsid w:val="005B382C"/>
    <w:rsid w:val="005B3C11"/>
    <w:rsid w:val="005B40DA"/>
    <w:rsid w:val="005B4226"/>
    <w:rsid w:val="005B5AA4"/>
    <w:rsid w:val="005B656B"/>
    <w:rsid w:val="005B71B1"/>
    <w:rsid w:val="005B71B3"/>
    <w:rsid w:val="005B76A4"/>
    <w:rsid w:val="005C04A7"/>
    <w:rsid w:val="005C17A4"/>
    <w:rsid w:val="005C27CC"/>
    <w:rsid w:val="005C31BB"/>
    <w:rsid w:val="005C370D"/>
    <w:rsid w:val="005C4D6F"/>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5BB9"/>
    <w:rsid w:val="005D6696"/>
    <w:rsid w:val="005D67F7"/>
    <w:rsid w:val="005D7CEB"/>
    <w:rsid w:val="005D7D7E"/>
    <w:rsid w:val="005D7DCC"/>
    <w:rsid w:val="005E0B59"/>
    <w:rsid w:val="005E1105"/>
    <w:rsid w:val="005E1417"/>
    <w:rsid w:val="005E162F"/>
    <w:rsid w:val="005E22E0"/>
    <w:rsid w:val="005E2C60"/>
    <w:rsid w:val="005E31F6"/>
    <w:rsid w:val="005E3622"/>
    <w:rsid w:val="005E437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640"/>
    <w:rsid w:val="00600E63"/>
    <w:rsid w:val="00601561"/>
    <w:rsid w:val="00601E55"/>
    <w:rsid w:val="00602037"/>
    <w:rsid w:val="006029DD"/>
    <w:rsid w:val="00602C6A"/>
    <w:rsid w:val="00603666"/>
    <w:rsid w:val="0060381B"/>
    <w:rsid w:val="00603AF5"/>
    <w:rsid w:val="00606479"/>
    <w:rsid w:val="00606C66"/>
    <w:rsid w:val="00610145"/>
    <w:rsid w:val="00610D1F"/>
    <w:rsid w:val="006123C6"/>
    <w:rsid w:val="00612C02"/>
    <w:rsid w:val="00612CDD"/>
    <w:rsid w:val="0061562E"/>
    <w:rsid w:val="00616D41"/>
    <w:rsid w:val="00617292"/>
    <w:rsid w:val="006200A9"/>
    <w:rsid w:val="00621B61"/>
    <w:rsid w:val="00622225"/>
    <w:rsid w:val="00622380"/>
    <w:rsid w:val="00622D03"/>
    <w:rsid w:val="00622DCD"/>
    <w:rsid w:val="00622F57"/>
    <w:rsid w:val="00623DD5"/>
    <w:rsid w:val="00624269"/>
    <w:rsid w:val="00624A34"/>
    <w:rsid w:val="0062568D"/>
    <w:rsid w:val="006256D3"/>
    <w:rsid w:val="006267F5"/>
    <w:rsid w:val="00627337"/>
    <w:rsid w:val="0062769A"/>
    <w:rsid w:val="00630069"/>
    <w:rsid w:val="00630583"/>
    <w:rsid w:val="00630D2E"/>
    <w:rsid w:val="00630D39"/>
    <w:rsid w:val="00631E19"/>
    <w:rsid w:val="00633E76"/>
    <w:rsid w:val="00633EC9"/>
    <w:rsid w:val="006340F5"/>
    <w:rsid w:val="00634542"/>
    <w:rsid w:val="00634EAE"/>
    <w:rsid w:val="00635E4D"/>
    <w:rsid w:val="0063620C"/>
    <w:rsid w:val="00637E18"/>
    <w:rsid w:val="0064032E"/>
    <w:rsid w:val="0064038D"/>
    <w:rsid w:val="00641A0B"/>
    <w:rsid w:val="00641D5A"/>
    <w:rsid w:val="00641E06"/>
    <w:rsid w:val="00642BC3"/>
    <w:rsid w:val="00643007"/>
    <w:rsid w:val="006431D0"/>
    <w:rsid w:val="006432C5"/>
    <w:rsid w:val="006436FA"/>
    <w:rsid w:val="00643852"/>
    <w:rsid w:val="00643C27"/>
    <w:rsid w:val="00643EC3"/>
    <w:rsid w:val="006455E7"/>
    <w:rsid w:val="00645758"/>
    <w:rsid w:val="006461A1"/>
    <w:rsid w:val="00647422"/>
    <w:rsid w:val="00647E6B"/>
    <w:rsid w:val="00650E84"/>
    <w:rsid w:val="0065198B"/>
    <w:rsid w:val="00651D16"/>
    <w:rsid w:val="006525AF"/>
    <w:rsid w:val="0065266A"/>
    <w:rsid w:val="00653F9C"/>
    <w:rsid w:val="00655470"/>
    <w:rsid w:val="00656FEE"/>
    <w:rsid w:val="0065758F"/>
    <w:rsid w:val="00660897"/>
    <w:rsid w:val="00660E85"/>
    <w:rsid w:val="00661028"/>
    <w:rsid w:val="006617BD"/>
    <w:rsid w:val="0066194D"/>
    <w:rsid w:val="00664695"/>
    <w:rsid w:val="00664840"/>
    <w:rsid w:val="00664980"/>
    <w:rsid w:val="00664B44"/>
    <w:rsid w:val="006652BF"/>
    <w:rsid w:val="0066630C"/>
    <w:rsid w:val="006667CA"/>
    <w:rsid w:val="00667796"/>
    <w:rsid w:val="00667BBD"/>
    <w:rsid w:val="00670D7F"/>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2F86"/>
    <w:rsid w:val="006A3836"/>
    <w:rsid w:val="006A3DD3"/>
    <w:rsid w:val="006A4625"/>
    <w:rsid w:val="006A47AE"/>
    <w:rsid w:val="006A4BA9"/>
    <w:rsid w:val="006A5B5E"/>
    <w:rsid w:val="006A67CB"/>
    <w:rsid w:val="006B0368"/>
    <w:rsid w:val="006B0F6E"/>
    <w:rsid w:val="006B1D7B"/>
    <w:rsid w:val="006B27D4"/>
    <w:rsid w:val="006B2C9C"/>
    <w:rsid w:val="006B48EB"/>
    <w:rsid w:val="006B4BC1"/>
    <w:rsid w:val="006B4C00"/>
    <w:rsid w:val="006B56FC"/>
    <w:rsid w:val="006B6DDA"/>
    <w:rsid w:val="006B73D9"/>
    <w:rsid w:val="006B7DF0"/>
    <w:rsid w:val="006B7E74"/>
    <w:rsid w:val="006C0176"/>
    <w:rsid w:val="006C0D75"/>
    <w:rsid w:val="006C1C48"/>
    <w:rsid w:val="006C3C1D"/>
    <w:rsid w:val="006C41FF"/>
    <w:rsid w:val="006C5145"/>
    <w:rsid w:val="006C65A8"/>
    <w:rsid w:val="006D05AD"/>
    <w:rsid w:val="006D0EC1"/>
    <w:rsid w:val="006D16F8"/>
    <w:rsid w:val="006D1813"/>
    <w:rsid w:val="006D24A9"/>
    <w:rsid w:val="006D25BB"/>
    <w:rsid w:val="006D2AF3"/>
    <w:rsid w:val="006D4D79"/>
    <w:rsid w:val="006D4FBD"/>
    <w:rsid w:val="006D583E"/>
    <w:rsid w:val="006D5879"/>
    <w:rsid w:val="006D5E21"/>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422"/>
    <w:rsid w:val="00701B21"/>
    <w:rsid w:val="00702384"/>
    <w:rsid w:val="00702D79"/>
    <w:rsid w:val="00704BAE"/>
    <w:rsid w:val="0070557A"/>
    <w:rsid w:val="00705807"/>
    <w:rsid w:val="00705C74"/>
    <w:rsid w:val="00705C78"/>
    <w:rsid w:val="007060E1"/>
    <w:rsid w:val="00706644"/>
    <w:rsid w:val="00706824"/>
    <w:rsid w:val="00706B85"/>
    <w:rsid w:val="007071FC"/>
    <w:rsid w:val="00707C84"/>
    <w:rsid w:val="00710A59"/>
    <w:rsid w:val="00710FDE"/>
    <w:rsid w:val="007116C7"/>
    <w:rsid w:val="00711C5A"/>
    <w:rsid w:val="00712B66"/>
    <w:rsid w:val="00713C31"/>
    <w:rsid w:val="0071428D"/>
    <w:rsid w:val="007144C9"/>
    <w:rsid w:val="00715B9D"/>
    <w:rsid w:val="00715DFA"/>
    <w:rsid w:val="00716B3C"/>
    <w:rsid w:val="007170C2"/>
    <w:rsid w:val="00717EE4"/>
    <w:rsid w:val="00717F2D"/>
    <w:rsid w:val="00720453"/>
    <w:rsid w:val="00720853"/>
    <w:rsid w:val="00722129"/>
    <w:rsid w:val="0072377F"/>
    <w:rsid w:val="00724173"/>
    <w:rsid w:val="007249CC"/>
    <w:rsid w:val="0072521C"/>
    <w:rsid w:val="00726730"/>
    <w:rsid w:val="007279CC"/>
    <w:rsid w:val="00730598"/>
    <w:rsid w:val="00731C24"/>
    <w:rsid w:val="0073257E"/>
    <w:rsid w:val="00732A32"/>
    <w:rsid w:val="00732E92"/>
    <w:rsid w:val="00733066"/>
    <w:rsid w:val="00733469"/>
    <w:rsid w:val="00733539"/>
    <w:rsid w:val="00735557"/>
    <w:rsid w:val="00737108"/>
    <w:rsid w:val="007379CE"/>
    <w:rsid w:val="00737B31"/>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3D37"/>
    <w:rsid w:val="00754690"/>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3B37"/>
    <w:rsid w:val="0077403A"/>
    <w:rsid w:val="0077408B"/>
    <w:rsid w:val="00774AF6"/>
    <w:rsid w:val="00774EC8"/>
    <w:rsid w:val="00775EB6"/>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0EA1"/>
    <w:rsid w:val="0079148B"/>
    <w:rsid w:val="00792971"/>
    <w:rsid w:val="00792CFC"/>
    <w:rsid w:val="00792DAA"/>
    <w:rsid w:val="007935C6"/>
    <w:rsid w:val="00794129"/>
    <w:rsid w:val="00794516"/>
    <w:rsid w:val="00794878"/>
    <w:rsid w:val="00795512"/>
    <w:rsid w:val="00795AB7"/>
    <w:rsid w:val="00795E37"/>
    <w:rsid w:val="0079694C"/>
    <w:rsid w:val="00796D89"/>
    <w:rsid w:val="00796DA2"/>
    <w:rsid w:val="007A0415"/>
    <w:rsid w:val="007A06BA"/>
    <w:rsid w:val="007A1138"/>
    <w:rsid w:val="007A27BD"/>
    <w:rsid w:val="007A294A"/>
    <w:rsid w:val="007A4B4D"/>
    <w:rsid w:val="007A4C96"/>
    <w:rsid w:val="007A51A6"/>
    <w:rsid w:val="007A523D"/>
    <w:rsid w:val="007A5629"/>
    <w:rsid w:val="007A5657"/>
    <w:rsid w:val="007A56E5"/>
    <w:rsid w:val="007A60CA"/>
    <w:rsid w:val="007A6AAB"/>
    <w:rsid w:val="007A6F0F"/>
    <w:rsid w:val="007A708C"/>
    <w:rsid w:val="007A75B5"/>
    <w:rsid w:val="007A7985"/>
    <w:rsid w:val="007A7ABE"/>
    <w:rsid w:val="007B03C5"/>
    <w:rsid w:val="007B26E1"/>
    <w:rsid w:val="007B2FB9"/>
    <w:rsid w:val="007B3045"/>
    <w:rsid w:val="007B45D5"/>
    <w:rsid w:val="007B4C0F"/>
    <w:rsid w:val="007B5A80"/>
    <w:rsid w:val="007B5E25"/>
    <w:rsid w:val="007B6E0E"/>
    <w:rsid w:val="007C06F5"/>
    <w:rsid w:val="007C27FB"/>
    <w:rsid w:val="007C2CBB"/>
    <w:rsid w:val="007C309C"/>
    <w:rsid w:val="007C4131"/>
    <w:rsid w:val="007C4209"/>
    <w:rsid w:val="007C5EB9"/>
    <w:rsid w:val="007C6C3F"/>
    <w:rsid w:val="007C7449"/>
    <w:rsid w:val="007C7EA5"/>
    <w:rsid w:val="007D09DE"/>
    <w:rsid w:val="007D1A95"/>
    <w:rsid w:val="007D204B"/>
    <w:rsid w:val="007D22DB"/>
    <w:rsid w:val="007D245E"/>
    <w:rsid w:val="007D3764"/>
    <w:rsid w:val="007D3AD6"/>
    <w:rsid w:val="007D3C09"/>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55BC"/>
    <w:rsid w:val="007F7022"/>
    <w:rsid w:val="007F7690"/>
    <w:rsid w:val="007F7EAF"/>
    <w:rsid w:val="008011CC"/>
    <w:rsid w:val="00801404"/>
    <w:rsid w:val="008017AA"/>
    <w:rsid w:val="00801CBA"/>
    <w:rsid w:val="00801D92"/>
    <w:rsid w:val="00804BCF"/>
    <w:rsid w:val="00804FA4"/>
    <w:rsid w:val="00805275"/>
    <w:rsid w:val="00806A62"/>
    <w:rsid w:val="00806E55"/>
    <w:rsid w:val="008075CE"/>
    <w:rsid w:val="00810598"/>
    <w:rsid w:val="00812179"/>
    <w:rsid w:val="008124E2"/>
    <w:rsid w:val="00812A3C"/>
    <w:rsid w:val="00813928"/>
    <w:rsid w:val="00815321"/>
    <w:rsid w:val="008166DB"/>
    <w:rsid w:val="008173E0"/>
    <w:rsid w:val="008175C1"/>
    <w:rsid w:val="008200D4"/>
    <w:rsid w:val="00820370"/>
    <w:rsid w:val="00820CC6"/>
    <w:rsid w:val="00822C41"/>
    <w:rsid w:val="008237DE"/>
    <w:rsid w:val="00825043"/>
    <w:rsid w:val="00825267"/>
    <w:rsid w:val="008264EC"/>
    <w:rsid w:val="00827C0D"/>
    <w:rsid w:val="00830642"/>
    <w:rsid w:val="00831250"/>
    <w:rsid w:val="00831D8D"/>
    <w:rsid w:val="00833165"/>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6687"/>
    <w:rsid w:val="00857086"/>
    <w:rsid w:val="00857572"/>
    <w:rsid w:val="00860447"/>
    <w:rsid w:val="00860F4D"/>
    <w:rsid w:val="008611DE"/>
    <w:rsid w:val="00861375"/>
    <w:rsid w:val="00861C56"/>
    <w:rsid w:val="00861F29"/>
    <w:rsid w:val="008620A2"/>
    <w:rsid w:val="0086226F"/>
    <w:rsid w:val="00862741"/>
    <w:rsid w:val="00862BBD"/>
    <w:rsid w:val="00863C9F"/>
    <w:rsid w:val="008645D6"/>
    <w:rsid w:val="0086552B"/>
    <w:rsid w:val="008655A2"/>
    <w:rsid w:val="0086584F"/>
    <w:rsid w:val="008671C7"/>
    <w:rsid w:val="00867681"/>
    <w:rsid w:val="00867EB8"/>
    <w:rsid w:val="00870335"/>
    <w:rsid w:val="00870AA2"/>
    <w:rsid w:val="00873D88"/>
    <w:rsid w:val="0087433B"/>
    <w:rsid w:val="0087621E"/>
    <w:rsid w:val="008767B2"/>
    <w:rsid w:val="00877328"/>
    <w:rsid w:val="0087787A"/>
    <w:rsid w:val="008802F0"/>
    <w:rsid w:val="00880992"/>
    <w:rsid w:val="00881692"/>
    <w:rsid w:val="00882DE0"/>
    <w:rsid w:val="00883143"/>
    <w:rsid w:val="00883EFD"/>
    <w:rsid w:val="00884933"/>
    <w:rsid w:val="00886154"/>
    <w:rsid w:val="00890277"/>
    <w:rsid w:val="0089061A"/>
    <w:rsid w:val="008915C6"/>
    <w:rsid w:val="00891677"/>
    <w:rsid w:val="00892174"/>
    <w:rsid w:val="00892DB5"/>
    <w:rsid w:val="00894B61"/>
    <w:rsid w:val="00895255"/>
    <w:rsid w:val="00895DF1"/>
    <w:rsid w:val="00896645"/>
    <w:rsid w:val="0089673E"/>
    <w:rsid w:val="008975D2"/>
    <w:rsid w:val="008A035B"/>
    <w:rsid w:val="008A0459"/>
    <w:rsid w:val="008A1218"/>
    <w:rsid w:val="008A15B6"/>
    <w:rsid w:val="008A1A6E"/>
    <w:rsid w:val="008A202A"/>
    <w:rsid w:val="008A2968"/>
    <w:rsid w:val="008A32F6"/>
    <w:rsid w:val="008A36C9"/>
    <w:rsid w:val="008A5AF9"/>
    <w:rsid w:val="008B16DE"/>
    <w:rsid w:val="008B251F"/>
    <w:rsid w:val="008B2602"/>
    <w:rsid w:val="008B2727"/>
    <w:rsid w:val="008B2BF5"/>
    <w:rsid w:val="008B316B"/>
    <w:rsid w:val="008B5059"/>
    <w:rsid w:val="008B5BF2"/>
    <w:rsid w:val="008B6934"/>
    <w:rsid w:val="008B6CF8"/>
    <w:rsid w:val="008B72F6"/>
    <w:rsid w:val="008B7432"/>
    <w:rsid w:val="008C119E"/>
    <w:rsid w:val="008C1E24"/>
    <w:rsid w:val="008C274F"/>
    <w:rsid w:val="008C296B"/>
    <w:rsid w:val="008C2A46"/>
    <w:rsid w:val="008C33EA"/>
    <w:rsid w:val="008C4278"/>
    <w:rsid w:val="008C520E"/>
    <w:rsid w:val="008C563B"/>
    <w:rsid w:val="008C567E"/>
    <w:rsid w:val="008C5DEE"/>
    <w:rsid w:val="008C6162"/>
    <w:rsid w:val="008C6285"/>
    <w:rsid w:val="008C7182"/>
    <w:rsid w:val="008C7268"/>
    <w:rsid w:val="008C7CA5"/>
    <w:rsid w:val="008C7D9D"/>
    <w:rsid w:val="008D0416"/>
    <w:rsid w:val="008D13C6"/>
    <w:rsid w:val="008D1B04"/>
    <w:rsid w:val="008D298F"/>
    <w:rsid w:val="008D3235"/>
    <w:rsid w:val="008D33C8"/>
    <w:rsid w:val="008D3893"/>
    <w:rsid w:val="008D45CD"/>
    <w:rsid w:val="008D55F1"/>
    <w:rsid w:val="008D5CD7"/>
    <w:rsid w:val="008D718E"/>
    <w:rsid w:val="008E09C5"/>
    <w:rsid w:val="008E0AA7"/>
    <w:rsid w:val="008E0CF9"/>
    <w:rsid w:val="008E2355"/>
    <w:rsid w:val="008E3151"/>
    <w:rsid w:val="008E3386"/>
    <w:rsid w:val="008E5410"/>
    <w:rsid w:val="008E5A3F"/>
    <w:rsid w:val="008E7209"/>
    <w:rsid w:val="008E7448"/>
    <w:rsid w:val="008F0EDB"/>
    <w:rsid w:val="008F11BB"/>
    <w:rsid w:val="008F16FF"/>
    <w:rsid w:val="008F182F"/>
    <w:rsid w:val="008F1E95"/>
    <w:rsid w:val="008F2304"/>
    <w:rsid w:val="008F34BC"/>
    <w:rsid w:val="008F36F4"/>
    <w:rsid w:val="008F4912"/>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07E4"/>
    <w:rsid w:val="009109CB"/>
    <w:rsid w:val="0091281A"/>
    <w:rsid w:val="00912B24"/>
    <w:rsid w:val="009139B5"/>
    <w:rsid w:val="00914514"/>
    <w:rsid w:val="00914549"/>
    <w:rsid w:val="00914C08"/>
    <w:rsid w:val="00914F2F"/>
    <w:rsid w:val="00916057"/>
    <w:rsid w:val="00916AD1"/>
    <w:rsid w:val="00917637"/>
    <w:rsid w:val="00917709"/>
    <w:rsid w:val="00917B51"/>
    <w:rsid w:val="00917FEE"/>
    <w:rsid w:val="0092023D"/>
    <w:rsid w:val="00920472"/>
    <w:rsid w:val="00921251"/>
    <w:rsid w:val="00921861"/>
    <w:rsid w:val="0092189E"/>
    <w:rsid w:val="009219FD"/>
    <w:rsid w:val="00921DF7"/>
    <w:rsid w:val="00922AB8"/>
    <w:rsid w:val="00922E56"/>
    <w:rsid w:val="009257B0"/>
    <w:rsid w:val="009258BD"/>
    <w:rsid w:val="00925DEB"/>
    <w:rsid w:val="009263C0"/>
    <w:rsid w:val="009302D4"/>
    <w:rsid w:val="009307F2"/>
    <w:rsid w:val="00930CEC"/>
    <w:rsid w:val="00930F4A"/>
    <w:rsid w:val="0093375E"/>
    <w:rsid w:val="00933BEF"/>
    <w:rsid w:val="0093787E"/>
    <w:rsid w:val="00937F62"/>
    <w:rsid w:val="009412CC"/>
    <w:rsid w:val="0094388B"/>
    <w:rsid w:val="00943D09"/>
    <w:rsid w:val="00944826"/>
    <w:rsid w:val="00944C89"/>
    <w:rsid w:val="0094532F"/>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35A5"/>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0DF"/>
    <w:rsid w:val="0098637F"/>
    <w:rsid w:val="00986A9B"/>
    <w:rsid w:val="00986B9C"/>
    <w:rsid w:val="00987BAB"/>
    <w:rsid w:val="00990392"/>
    <w:rsid w:val="009906BF"/>
    <w:rsid w:val="009913F3"/>
    <w:rsid w:val="00991DA1"/>
    <w:rsid w:val="00992406"/>
    <w:rsid w:val="009924BC"/>
    <w:rsid w:val="009927F1"/>
    <w:rsid w:val="009936C4"/>
    <w:rsid w:val="00993E6A"/>
    <w:rsid w:val="009948ED"/>
    <w:rsid w:val="00995ADA"/>
    <w:rsid w:val="0099643A"/>
    <w:rsid w:val="00997959"/>
    <w:rsid w:val="009A0BAF"/>
    <w:rsid w:val="009A114F"/>
    <w:rsid w:val="009A1431"/>
    <w:rsid w:val="009A153D"/>
    <w:rsid w:val="009A1634"/>
    <w:rsid w:val="009A3A34"/>
    <w:rsid w:val="009A3FE2"/>
    <w:rsid w:val="009A400C"/>
    <w:rsid w:val="009A4B2C"/>
    <w:rsid w:val="009A5592"/>
    <w:rsid w:val="009A59BA"/>
    <w:rsid w:val="009A5D3B"/>
    <w:rsid w:val="009A6417"/>
    <w:rsid w:val="009A6454"/>
    <w:rsid w:val="009B01DF"/>
    <w:rsid w:val="009B020D"/>
    <w:rsid w:val="009B072F"/>
    <w:rsid w:val="009B07A1"/>
    <w:rsid w:val="009B09CC"/>
    <w:rsid w:val="009B173B"/>
    <w:rsid w:val="009B1A1A"/>
    <w:rsid w:val="009B2608"/>
    <w:rsid w:val="009B2814"/>
    <w:rsid w:val="009B2A71"/>
    <w:rsid w:val="009B2ABF"/>
    <w:rsid w:val="009B4027"/>
    <w:rsid w:val="009B4975"/>
    <w:rsid w:val="009B561F"/>
    <w:rsid w:val="009B5773"/>
    <w:rsid w:val="009B5D2D"/>
    <w:rsid w:val="009B72F8"/>
    <w:rsid w:val="009C058F"/>
    <w:rsid w:val="009C2815"/>
    <w:rsid w:val="009C2B3E"/>
    <w:rsid w:val="009C2EA2"/>
    <w:rsid w:val="009C3721"/>
    <w:rsid w:val="009C4141"/>
    <w:rsid w:val="009C4B55"/>
    <w:rsid w:val="009C5FCC"/>
    <w:rsid w:val="009C61A2"/>
    <w:rsid w:val="009C6DF6"/>
    <w:rsid w:val="009C6E92"/>
    <w:rsid w:val="009D04F7"/>
    <w:rsid w:val="009D075A"/>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13B"/>
    <w:rsid w:val="009E660A"/>
    <w:rsid w:val="009E6B64"/>
    <w:rsid w:val="009E72E5"/>
    <w:rsid w:val="009F46C8"/>
    <w:rsid w:val="009F4F2A"/>
    <w:rsid w:val="009F660B"/>
    <w:rsid w:val="009F671E"/>
    <w:rsid w:val="009F7EA6"/>
    <w:rsid w:val="009F7ED1"/>
    <w:rsid w:val="00A00570"/>
    <w:rsid w:val="00A0149B"/>
    <w:rsid w:val="00A01607"/>
    <w:rsid w:val="00A018D4"/>
    <w:rsid w:val="00A02F9D"/>
    <w:rsid w:val="00A0312A"/>
    <w:rsid w:val="00A033C2"/>
    <w:rsid w:val="00A03767"/>
    <w:rsid w:val="00A04834"/>
    <w:rsid w:val="00A05628"/>
    <w:rsid w:val="00A07DCF"/>
    <w:rsid w:val="00A12979"/>
    <w:rsid w:val="00A131A9"/>
    <w:rsid w:val="00A1496E"/>
    <w:rsid w:val="00A14BD2"/>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125D"/>
    <w:rsid w:val="00A32AEA"/>
    <w:rsid w:val="00A32F32"/>
    <w:rsid w:val="00A33E80"/>
    <w:rsid w:val="00A33EFE"/>
    <w:rsid w:val="00A3449B"/>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494E"/>
    <w:rsid w:val="00A55921"/>
    <w:rsid w:val="00A560E3"/>
    <w:rsid w:val="00A5628F"/>
    <w:rsid w:val="00A564AF"/>
    <w:rsid w:val="00A566A8"/>
    <w:rsid w:val="00A56D0B"/>
    <w:rsid w:val="00A5775C"/>
    <w:rsid w:val="00A60E72"/>
    <w:rsid w:val="00A61F0C"/>
    <w:rsid w:val="00A61FF0"/>
    <w:rsid w:val="00A62467"/>
    <w:rsid w:val="00A62580"/>
    <w:rsid w:val="00A6399D"/>
    <w:rsid w:val="00A63AC9"/>
    <w:rsid w:val="00A64502"/>
    <w:rsid w:val="00A64B5F"/>
    <w:rsid w:val="00A6540B"/>
    <w:rsid w:val="00A65EA0"/>
    <w:rsid w:val="00A66517"/>
    <w:rsid w:val="00A67B0E"/>
    <w:rsid w:val="00A718EF"/>
    <w:rsid w:val="00A72134"/>
    <w:rsid w:val="00A726A8"/>
    <w:rsid w:val="00A72951"/>
    <w:rsid w:val="00A73505"/>
    <w:rsid w:val="00A73772"/>
    <w:rsid w:val="00A75E02"/>
    <w:rsid w:val="00A76E79"/>
    <w:rsid w:val="00A7771B"/>
    <w:rsid w:val="00A77B53"/>
    <w:rsid w:val="00A811F1"/>
    <w:rsid w:val="00A82887"/>
    <w:rsid w:val="00A83010"/>
    <w:rsid w:val="00A83BF5"/>
    <w:rsid w:val="00A84CD1"/>
    <w:rsid w:val="00A85E2E"/>
    <w:rsid w:val="00A861F3"/>
    <w:rsid w:val="00A86B44"/>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27F"/>
    <w:rsid w:val="00AA4A2C"/>
    <w:rsid w:val="00AA59A6"/>
    <w:rsid w:val="00AA6299"/>
    <w:rsid w:val="00AA6E05"/>
    <w:rsid w:val="00AB0262"/>
    <w:rsid w:val="00AB14A1"/>
    <w:rsid w:val="00AB202A"/>
    <w:rsid w:val="00AB3216"/>
    <w:rsid w:val="00AB548D"/>
    <w:rsid w:val="00AB5555"/>
    <w:rsid w:val="00AB55AD"/>
    <w:rsid w:val="00AB5D1B"/>
    <w:rsid w:val="00AB6918"/>
    <w:rsid w:val="00AB6B40"/>
    <w:rsid w:val="00AB740A"/>
    <w:rsid w:val="00AC01CD"/>
    <w:rsid w:val="00AC1DA5"/>
    <w:rsid w:val="00AC216B"/>
    <w:rsid w:val="00AC26B1"/>
    <w:rsid w:val="00AC3988"/>
    <w:rsid w:val="00AC3BE4"/>
    <w:rsid w:val="00AC42B8"/>
    <w:rsid w:val="00AC45C5"/>
    <w:rsid w:val="00AC4791"/>
    <w:rsid w:val="00AC4FB6"/>
    <w:rsid w:val="00AC4FD1"/>
    <w:rsid w:val="00AC5626"/>
    <w:rsid w:val="00AC563F"/>
    <w:rsid w:val="00AC5FEF"/>
    <w:rsid w:val="00AC6036"/>
    <w:rsid w:val="00AC6E71"/>
    <w:rsid w:val="00AD0141"/>
    <w:rsid w:val="00AD0328"/>
    <w:rsid w:val="00AD11DC"/>
    <w:rsid w:val="00AD1966"/>
    <w:rsid w:val="00AD19E8"/>
    <w:rsid w:val="00AD2B03"/>
    <w:rsid w:val="00AD2E07"/>
    <w:rsid w:val="00AD38A9"/>
    <w:rsid w:val="00AD3E00"/>
    <w:rsid w:val="00AD4071"/>
    <w:rsid w:val="00AD421B"/>
    <w:rsid w:val="00AD44EA"/>
    <w:rsid w:val="00AD4782"/>
    <w:rsid w:val="00AD5236"/>
    <w:rsid w:val="00AD527D"/>
    <w:rsid w:val="00AD54E0"/>
    <w:rsid w:val="00AD5B8D"/>
    <w:rsid w:val="00AD66C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4768"/>
    <w:rsid w:val="00AE503A"/>
    <w:rsid w:val="00AE68E2"/>
    <w:rsid w:val="00AF0157"/>
    <w:rsid w:val="00AF2EC7"/>
    <w:rsid w:val="00AF3AC0"/>
    <w:rsid w:val="00AF4F4A"/>
    <w:rsid w:val="00B00C24"/>
    <w:rsid w:val="00B00F93"/>
    <w:rsid w:val="00B01BBE"/>
    <w:rsid w:val="00B03F92"/>
    <w:rsid w:val="00B055D8"/>
    <w:rsid w:val="00B06CD6"/>
    <w:rsid w:val="00B06EBC"/>
    <w:rsid w:val="00B11A5E"/>
    <w:rsid w:val="00B11D2D"/>
    <w:rsid w:val="00B123F0"/>
    <w:rsid w:val="00B12891"/>
    <w:rsid w:val="00B146C1"/>
    <w:rsid w:val="00B146E7"/>
    <w:rsid w:val="00B156DF"/>
    <w:rsid w:val="00B159F4"/>
    <w:rsid w:val="00B15ABB"/>
    <w:rsid w:val="00B16973"/>
    <w:rsid w:val="00B2036A"/>
    <w:rsid w:val="00B21057"/>
    <w:rsid w:val="00B21A65"/>
    <w:rsid w:val="00B2202B"/>
    <w:rsid w:val="00B23422"/>
    <w:rsid w:val="00B24948"/>
    <w:rsid w:val="00B24CBD"/>
    <w:rsid w:val="00B25CA3"/>
    <w:rsid w:val="00B2775B"/>
    <w:rsid w:val="00B27B86"/>
    <w:rsid w:val="00B30028"/>
    <w:rsid w:val="00B31E8D"/>
    <w:rsid w:val="00B3313B"/>
    <w:rsid w:val="00B331E8"/>
    <w:rsid w:val="00B331EA"/>
    <w:rsid w:val="00B34732"/>
    <w:rsid w:val="00B353B8"/>
    <w:rsid w:val="00B35C56"/>
    <w:rsid w:val="00B35DA4"/>
    <w:rsid w:val="00B36F17"/>
    <w:rsid w:val="00B372ED"/>
    <w:rsid w:val="00B40603"/>
    <w:rsid w:val="00B40AF6"/>
    <w:rsid w:val="00B41071"/>
    <w:rsid w:val="00B41C43"/>
    <w:rsid w:val="00B425C0"/>
    <w:rsid w:val="00B42DB6"/>
    <w:rsid w:val="00B46957"/>
    <w:rsid w:val="00B477D1"/>
    <w:rsid w:val="00B47B54"/>
    <w:rsid w:val="00B50E99"/>
    <w:rsid w:val="00B51926"/>
    <w:rsid w:val="00B51F9A"/>
    <w:rsid w:val="00B54DA7"/>
    <w:rsid w:val="00B600C6"/>
    <w:rsid w:val="00B60167"/>
    <w:rsid w:val="00B60FC0"/>
    <w:rsid w:val="00B6107A"/>
    <w:rsid w:val="00B61665"/>
    <w:rsid w:val="00B63528"/>
    <w:rsid w:val="00B63DAF"/>
    <w:rsid w:val="00B63E98"/>
    <w:rsid w:val="00B65754"/>
    <w:rsid w:val="00B661AA"/>
    <w:rsid w:val="00B66242"/>
    <w:rsid w:val="00B662BF"/>
    <w:rsid w:val="00B670D3"/>
    <w:rsid w:val="00B67958"/>
    <w:rsid w:val="00B701D1"/>
    <w:rsid w:val="00B716BB"/>
    <w:rsid w:val="00B716FD"/>
    <w:rsid w:val="00B734C2"/>
    <w:rsid w:val="00B73BDA"/>
    <w:rsid w:val="00B74053"/>
    <w:rsid w:val="00B765A0"/>
    <w:rsid w:val="00B76C02"/>
    <w:rsid w:val="00B77BD2"/>
    <w:rsid w:val="00B814CB"/>
    <w:rsid w:val="00B81873"/>
    <w:rsid w:val="00B81B6A"/>
    <w:rsid w:val="00B81F1F"/>
    <w:rsid w:val="00B820F4"/>
    <w:rsid w:val="00B82D90"/>
    <w:rsid w:val="00B835E0"/>
    <w:rsid w:val="00B8396D"/>
    <w:rsid w:val="00B857F9"/>
    <w:rsid w:val="00B90331"/>
    <w:rsid w:val="00B903ED"/>
    <w:rsid w:val="00B90B2D"/>
    <w:rsid w:val="00B935A1"/>
    <w:rsid w:val="00B9360D"/>
    <w:rsid w:val="00B95DAD"/>
    <w:rsid w:val="00B96C0C"/>
    <w:rsid w:val="00B9734D"/>
    <w:rsid w:val="00B97732"/>
    <w:rsid w:val="00BA27F4"/>
    <w:rsid w:val="00BA2E40"/>
    <w:rsid w:val="00BA2EF5"/>
    <w:rsid w:val="00BA3CB7"/>
    <w:rsid w:val="00BA41DE"/>
    <w:rsid w:val="00BA556C"/>
    <w:rsid w:val="00BA7689"/>
    <w:rsid w:val="00BB0F31"/>
    <w:rsid w:val="00BB1112"/>
    <w:rsid w:val="00BB15AB"/>
    <w:rsid w:val="00BB189B"/>
    <w:rsid w:val="00BB1D21"/>
    <w:rsid w:val="00BB2E51"/>
    <w:rsid w:val="00BB4BEA"/>
    <w:rsid w:val="00BB4C1A"/>
    <w:rsid w:val="00BB50AB"/>
    <w:rsid w:val="00BB539D"/>
    <w:rsid w:val="00BB6664"/>
    <w:rsid w:val="00BC01FC"/>
    <w:rsid w:val="00BC1F79"/>
    <w:rsid w:val="00BC2201"/>
    <w:rsid w:val="00BC2B20"/>
    <w:rsid w:val="00BC3C7A"/>
    <w:rsid w:val="00BC6138"/>
    <w:rsid w:val="00BC7DC6"/>
    <w:rsid w:val="00BD1039"/>
    <w:rsid w:val="00BD13B5"/>
    <w:rsid w:val="00BD2EFC"/>
    <w:rsid w:val="00BD340E"/>
    <w:rsid w:val="00BD45F0"/>
    <w:rsid w:val="00BD60AD"/>
    <w:rsid w:val="00BD6C02"/>
    <w:rsid w:val="00BE0B8B"/>
    <w:rsid w:val="00BE1244"/>
    <w:rsid w:val="00BE165D"/>
    <w:rsid w:val="00BE2394"/>
    <w:rsid w:val="00BE2702"/>
    <w:rsid w:val="00BE4326"/>
    <w:rsid w:val="00BE5E54"/>
    <w:rsid w:val="00BE5F4F"/>
    <w:rsid w:val="00BE60DB"/>
    <w:rsid w:val="00BE77E1"/>
    <w:rsid w:val="00BF0191"/>
    <w:rsid w:val="00BF13EC"/>
    <w:rsid w:val="00BF1C07"/>
    <w:rsid w:val="00BF2F13"/>
    <w:rsid w:val="00BF3DEE"/>
    <w:rsid w:val="00BF4553"/>
    <w:rsid w:val="00BF54AC"/>
    <w:rsid w:val="00BF54BD"/>
    <w:rsid w:val="00BF65F5"/>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1F9F"/>
    <w:rsid w:val="00C2325C"/>
    <w:rsid w:val="00C239ED"/>
    <w:rsid w:val="00C248D3"/>
    <w:rsid w:val="00C24D9D"/>
    <w:rsid w:val="00C25834"/>
    <w:rsid w:val="00C25CF3"/>
    <w:rsid w:val="00C263E9"/>
    <w:rsid w:val="00C26A74"/>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1D5B"/>
    <w:rsid w:val="00C52433"/>
    <w:rsid w:val="00C52D62"/>
    <w:rsid w:val="00C52EF3"/>
    <w:rsid w:val="00C533D4"/>
    <w:rsid w:val="00C537B8"/>
    <w:rsid w:val="00C53A4C"/>
    <w:rsid w:val="00C5448D"/>
    <w:rsid w:val="00C5477F"/>
    <w:rsid w:val="00C547B7"/>
    <w:rsid w:val="00C5503B"/>
    <w:rsid w:val="00C55A32"/>
    <w:rsid w:val="00C564F2"/>
    <w:rsid w:val="00C56F11"/>
    <w:rsid w:val="00C61F3A"/>
    <w:rsid w:val="00C629CB"/>
    <w:rsid w:val="00C62B75"/>
    <w:rsid w:val="00C62BFF"/>
    <w:rsid w:val="00C646BA"/>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05CE"/>
    <w:rsid w:val="00C91C88"/>
    <w:rsid w:val="00C939C3"/>
    <w:rsid w:val="00C94228"/>
    <w:rsid w:val="00C96D2C"/>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4E24"/>
    <w:rsid w:val="00CB6FF2"/>
    <w:rsid w:val="00CC0B94"/>
    <w:rsid w:val="00CC10C2"/>
    <w:rsid w:val="00CC152E"/>
    <w:rsid w:val="00CC2493"/>
    <w:rsid w:val="00CC3222"/>
    <w:rsid w:val="00CC35F1"/>
    <w:rsid w:val="00CC35FF"/>
    <w:rsid w:val="00CC3FD8"/>
    <w:rsid w:val="00CC6CB4"/>
    <w:rsid w:val="00CC7FE1"/>
    <w:rsid w:val="00CD0E6E"/>
    <w:rsid w:val="00CD23AE"/>
    <w:rsid w:val="00CD27DF"/>
    <w:rsid w:val="00CD2D8A"/>
    <w:rsid w:val="00CD2E4F"/>
    <w:rsid w:val="00CD3822"/>
    <w:rsid w:val="00CD3AA0"/>
    <w:rsid w:val="00CD3BAC"/>
    <w:rsid w:val="00CD3FF2"/>
    <w:rsid w:val="00CD4A65"/>
    <w:rsid w:val="00CD4B7F"/>
    <w:rsid w:val="00CD531F"/>
    <w:rsid w:val="00CD6FA3"/>
    <w:rsid w:val="00CD7ECD"/>
    <w:rsid w:val="00CE2184"/>
    <w:rsid w:val="00CE3B7F"/>
    <w:rsid w:val="00CE3FA2"/>
    <w:rsid w:val="00CE41A0"/>
    <w:rsid w:val="00CE4958"/>
    <w:rsid w:val="00CE60D9"/>
    <w:rsid w:val="00CE6793"/>
    <w:rsid w:val="00CE68E2"/>
    <w:rsid w:val="00CE6CAC"/>
    <w:rsid w:val="00CE706E"/>
    <w:rsid w:val="00CE70B1"/>
    <w:rsid w:val="00CE7AE4"/>
    <w:rsid w:val="00CF0A4C"/>
    <w:rsid w:val="00CF14F5"/>
    <w:rsid w:val="00CF150A"/>
    <w:rsid w:val="00CF2225"/>
    <w:rsid w:val="00CF25E7"/>
    <w:rsid w:val="00CF2D7D"/>
    <w:rsid w:val="00CF3C77"/>
    <w:rsid w:val="00CF45A2"/>
    <w:rsid w:val="00CF52E7"/>
    <w:rsid w:val="00CF64B5"/>
    <w:rsid w:val="00CF7853"/>
    <w:rsid w:val="00D004ED"/>
    <w:rsid w:val="00D01AD3"/>
    <w:rsid w:val="00D0260F"/>
    <w:rsid w:val="00D03708"/>
    <w:rsid w:val="00D04680"/>
    <w:rsid w:val="00D06776"/>
    <w:rsid w:val="00D06E46"/>
    <w:rsid w:val="00D06F95"/>
    <w:rsid w:val="00D07DBA"/>
    <w:rsid w:val="00D1158C"/>
    <w:rsid w:val="00D11600"/>
    <w:rsid w:val="00D119A2"/>
    <w:rsid w:val="00D11A6A"/>
    <w:rsid w:val="00D12E31"/>
    <w:rsid w:val="00D137F9"/>
    <w:rsid w:val="00D1458C"/>
    <w:rsid w:val="00D15DE2"/>
    <w:rsid w:val="00D1620E"/>
    <w:rsid w:val="00D16867"/>
    <w:rsid w:val="00D16CB9"/>
    <w:rsid w:val="00D16EEC"/>
    <w:rsid w:val="00D2047A"/>
    <w:rsid w:val="00D20631"/>
    <w:rsid w:val="00D207FC"/>
    <w:rsid w:val="00D20CA1"/>
    <w:rsid w:val="00D2260B"/>
    <w:rsid w:val="00D22D49"/>
    <w:rsid w:val="00D23930"/>
    <w:rsid w:val="00D23A23"/>
    <w:rsid w:val="00D24D8A"/>
    <w:rsid w:val="00D24DA4"/>
    <w:rsid w:val="00D25235"/>
    <w:rsid w:val="00D25383"/>
    <w:rsid w:val="00D25670"/>
    <w:rsid w:val="00D25D20"/>
    <w:rsid w:val="00D301FF"/>
    <w:rsid w:val="00D3192C"/>
    <w:rsid w:val="00D32007"/>
    <w:rsid w:val="00D3257F"/>
    <w:rsid w:val="00D340E2"/>
    <w:rsid w:val="00D36887"/>
    <w:rsid w:val="00D36961"/>
    <w:rsid w:val="00D37563"/>
    <w:rsid w:val="00D379EB"/>
    <w:rsid w:val="00D37E1A"/>
    <w:rsid w:val="00D400B8"/>
    <w:rsid w:val="00D4022C"/>
    <w:rsid w:val="00D40DA9"/>
    <w:rsid w:val="00D41023"/>
    <w:rsid w:val="00D41C6C"/>
    <w:rsid w:val="00D42465"/>
    <w:rsid w:val="00D42E5B"/>
    <w:rsid w:val="00D430F1"/>
    <w:rsid w:val="00D439D1"/>
    <w:rsid w:val="00D43C68"/>
    <w:rsid w:val="00D444B2"/>
    <w:rsid w:val="00D453E4"/>
    <w:rsid w:val="00D45824"/>
    <w:rsid w:val="00D46208"/>
    <w:rsid w:val="00D47226"/>
    <w:rsid w:val="00D500EA"/>
    <w:rsid w:val="00D50B21"/>
    <w:rsid w:val="00D50D2A"/>
    <w:rsid w:val="00D51349"/>
    <w:rsid w:val="00D527AF"/>
    <w:rsid w:val="00D529E1"/>
    <w:rsid w:val="00D534C2"/>
    <w:rsid w:val="00D5410F"/>
    <w:rsid w:val="00D548E1"/>
    <w:rsid w:val="00D564DF"/>
    <w:rsid w:val="00D576DD"/>
    <w:rsid w:val="00D57CB4"/>
    <w:rsid w:val="00D61477"/>
    <w:rsid w:val="00D619E2"/>
    <w:rsid w:val="00D62036"/>
    <w:rsid w:val="00D620CC"/>
    <w:rsid w:val="00D634B8"/>
    <w:rsid w:val="00D63EF3"/>
    <w:rsid w:val="00D63F87"/>
    <w:rsid w:val="00D64441"/>
    <w:rsid w:val="00D65497"/>
    <w:rsid w:val="00D654DA"/>
    <w:rsid w:val="00D6609E"/>
    <w:rsid w:val="00D67A9F"/>
    <w:rsid w:val="00D67C20"/>
    <w:rsid w:val="00D67DE7"/>
    <w:rsid w:val="00D70C1B"/>
    <w:rsid w:val="00D70E5C"/>
    <w:rsid w:val="00D7146C"/>
    <w:rsid w:val="00D718CD"/>
    <w:rsid w:val="00D7416F"/>
    <w:rsid w:val="00D755F2"/>
    <w:rsid w:val="00D758BB"/>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35C"/>
    <w:rsid w:val="00D94BEB"/>
    <w:rsid w:val="00D94EA5"/>
    <w:rsid w:val="00D95F32"/>
    <w:rsid w:val="00D9766B"/>
    <w:rsid w:val="00DA024A"/>
    <w:rsid w:val="00DA07EE"/>
    <w:rsid w:val="00DA0A58"/>
    <w:rsid w:val="00DA1C85"/>
    <w:rsid w:val="00DA1CC9"/>
    <w:rsid w:val="00DA2E58"/>
    <w:rsid w:val="00DA328E"/>
    <w:rsid w:val="00DA3AA6"/>
    <w:rsid w:val="00DA46C1"/>
    <w:rsid w:val="00DA57EE"/>
    <w:rsid w:val="00DA5F1C"/>
    <w:rsid w:val="00DA70DD"/>
    <w:rsid w:val="00DB088F"/>
    <w:rsid w:val="00DB0B4A"/>
    <w:rsid w:val="00DB1487"/>
    <w:rsid w:val="00DB19B4"/>
    <w:rsid w:val="00DB19F1"/>
    <w:rsid w:val="00DB26AE"/>
    <w:rsid w:val="00DB4411"/>
    <w:rsid w:val="00DB466D"/>
    <w:rsid w:val="00DB5FD0"/>
    <w:rsid w:val="00DB7395"/>
    <w:rsid w:val="00DB75C2"/>
    <w:rsid w:val="00DB7E2C"/>
    <w:rsid w:val="00DC009A"/>
    <w:rsid w:val="00DC027B"/>
    <w:rsid w:val="00DC0A64"/>
    <w:rsid w:val="00DC0FC4"/>
    <w:rsid w:val="00DC1B9A"/>
    <w:rsid w:val="00DC1C8C"/>
    <w:rsid w:val="00DC2344"/>
    <w:rsid w:val="00DC2E4F"/>
    <w:rsid w:val="00DC384C"/>
    <w:rsid w:val="00DC40C4"/>
    <w:rsid w:val="00DC4AFD"/>
    <w:rsid w:val="00DC4D87"/>
    <w:rsid w:val="00DC4D8A"/>
    <w:rsid w:val="00DC6DF6"/>
    <w:rsid w:val="00DC72A3"/>
    <w:rsid w:val="00DC7BFE"/>
    <w:rsid w:val="00DC7F45"/>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32"/>
    <w:rsid w:val="00DE48F0"/>
    <w:rsid w:val="00DE4A77"/>
    <w:rsid w:val="00DE68EE"/>
    <w:rsid w:val="00DE6C1B"/>
    <w:rsid w:val="00DE6D24"/>
    <w:rsid w:val="00DE7285"/>
    <w:rsid w:val="00DE7C40"/>
    <w:rsid w:val="00DF0EA5"/>
    <w:rsid w:val="00DF1F1D"/>
    <w:rsid w:val="00DF1FC3"/>
    <w:rsid w:val="00DF23A5"/>
    <w:rsid w:val="00DF2D48"/>
    <w:rsid w:val="00DF4C6E"/>
    <w:rsid w:val="00DF5806"/>
    <w:rsid w:val="00DF6666"/>
    <w:rsid w:val="00DF745E"/>
    <w:rsid w:val="00DF762E"/>
    <w:rsid w:val="00E0044E"/>
    <w:rsid w:val="00E00816"/>
    <w:rsid w:val="00E0239F"/>
    <w:rsid w:val="00E0267B"/>
    <w:rsid w:val="00E04441"/>
    <w:rsid w:val="00E05F03"/>
    <w:rsid w:val="00E06370"/>
    <w:rsid w:val="00E06B7B"/>
    <w:rsid w:val="00E06E20"/>
    <w:rsid w:val="00E07DD9"/>
    <w:rsid w:val="00E1011E"/>
    <w:rsid w:val="00E102F8"/>
    <w:rsid w:val="00E12FCF"/>
    <w:rsid w:val="00E13273"/>
    <w:rsid w:val="00E13379"/>
    <w:rsid w:val="00E139EE"/>
    <w:rsid w:val="00E1438F"/>
    <w:rsid w:val="00E14D83"/>
    <w:rsid w:val="00E14FA6"/>
    <w:rsid w:val="00E15A0D"/>
    <w:rsid w:val="00E16640"/>
    <w:rsid w:val="00E16986"/>
    <w:rsid w:val="00E1740F"/>
    <w:rsid w:val="00E200CF"/>
    <w:rsid w:val="00E20590"/>
    <w:rsid w:val="00E23528"/>
    <w:rsid w:val="00E24287"/>
    <w:rsid w:val="00E268DA"/>
    <w:rsid w:val="00E31367"/>
    <w:rsid w:val="00E3181C"/>
    <w:rsid w:val="00E31E54"/>
    <w:rsid w:val="00E32EF3"/>
    <w:rsid w:val="00E33E21"/>
    <w:rsid w:val="00E34BC4"/>
    <w:rsid w:val="00E3540C"/>
    <w:rsid w:val="00E36187"/>
    <w:rsid w:val="00E36332"/>
    <w:rsid w:val="00E36C9B"/>
    <w:rsid w:val="00E37638"/>
    <w:rsid w:val="00E37E9D"/>
    <w:rsid w:val="00E41B71"/>
    <w:rsid w:val="00E42569"/>
    <w:rsid w:val="00E434A0"/>
    <w:rsid w:val="00E44494"/>
    <w:rsid w:val="00E44D30"/>
    <w:rsid w:val="00E4597F"/>
    <w:rsid w:val="00E46CB7"/>
    <w:rsid w:val="00E4723D"/>
    <w:rsid w:val="00E5063A"/>
    <w:rsid w:val="00E5077C"/>
    <w:rsid w:val="00E50EC8"/>
    <w:rsid w:val="00E5159B"/>
    <w:rsid w:val="00E515C6"/>
    <w:rsid w:val="00E52E0D"/>
    <w:rsid w:val="00E52FE2"/>
    <w:rsid w:val="00E53539"/>
    <w:rsid w:val="00E54629"/>
    <w:rsid w:val="00E54715"/>
    <w:rsid w:val="00E54D6B"/>
    <w:rsid w:val="00E54E6F"/>
    <w:rsid w:val="00E55338"/>
    <w:rsid w:val="00E5552D"/>
    <w:rsid w:val="00E567D6"/>
    <w:rsid w:val="00E569AF"/>
    <w:rsid w:val="00E5774E"/>
    <w:rsid w:val="00E57EEB"/>
    <w:rsid w:val="00E60318"/>
    <w:rsid w:val="00E606D7"/>
    <w:rsid w:val="00E60BA8"/>
    <w:rsid w:val="00E61E25"/>
    <w:rsid w:val="00E61E28"/>
    <w:rsid w:val="00E628E4"/>
    <w:rsid w:val="00E638E4"/>
    <w:rsid w:val="00E647F7"/>
    <w:rsid w:val="00E65FF5"/>
    <w:rsid w:val="00E66857"/>
    <w:rsid w:val="00E67556"/>
    <w:rsid w:val="00E67B4E"/>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6FCF"/>
    <w:rsid w:val="00E97993"/>
    <w:rsid w:val="00EA0D5D"/>
    <w:rsid w:val="00EA1192"/>
    <w:rsid w:val="00EA153F"/>
    <w:rsid w:val="00EA2788"/>
    <w:rsid w:val="00EA2C6E"/>
    <w:rsid w:val="00EA4964"/>
    <w:rsid w:val="00EA4F1A"/>
    <w:rsid w:val="00EB01EB"/>
    <w:rsid w:val="00EB02DE"/>
    <w:rsid w:val="00EB0A07"/>
    <w:rsid w:val="00EB1B69"/>
    <w:rsid w:val="00EB1C78"/>
    <w:rsid w:val="00EB3B46"/>
    <w:rsid w:val="00EB3F8F"/>
    <w:rsid w:val="00EB4F08"/>
    <w:rsid w:val="00EB6074"/>
    <w:rsid w:val="00EC19EF"/>
    <w:rsid w:val="00EC2C52"/>
    <w:rsid w:val="00EC2E07"/>
    <w:rsid w:val="00EC43C7"/>
    <w:rsid w:val="00EC465D"/>
    <w:rsid w:val="00EC5C89"/>
    <w:rsid w:val="00EC66D2"/>
    <w:rsid w:val="00EC67E7"/>
    <w:rsid w:val="00ED0A1B"/>
    <w:rsid w:val="00ED21BC"/>
    <w:rsid w:val="00ED2FEC"/>
    <w:rsid w:val="00ED3F67"/>
    <w:rsid w:val="00ED440A"/>
    <w:rsid w:val="00ED7971"/>
    <w:rsid w:val="00ED7C79"/>
    <w:rsid w:val="00EE0748"/>
    <w:rsid w:val="00EE133C"/>
    <w:rsid w:val="00EE29A0"/>
    <w:rsid w:val="00EE2CEA"/>
    <w:rsid w:val="00EE3365"/>
    <w:rsid w:val="00EE48DF"/>
    <w:rsid w:val="00EE4AB3"/>
    <w:rsid w:val="00EE7405"/>
    <w:rsid w:val="00EF033E"/>
    <w:rsid w:val="00EF06EC"/>
    <w:rsid w:val="00EF14FF"/>
    <w:rsid w:val="00EF2BFE"/>
    <w:rsid w:val="00EF2D85"/>
    <w:rsid w:val="00EF3324"/>
    <w:rsid w:val="00EF402C"/>
    <w:rsid w:val="00EF45E0"/>
    <w:rsid w:val="00EF4E6F"/>
    <w:rsid w:val="00EF5830"/>
    <w:rsid w:val="00EF5C82"/>
    <w:rsid w:val="00EF7A15"/>
    <w:rsid w:val="00F0058A"/>
    <w:rsid w:val="00F00F43"/>
    <w:rsid w:val="00F01F8C"/>
    <w:rsid w:val="00F035A6"/>
    <w:rsid w:val="00F04AD0"/>
    <w:rsid w:val="00F10033"/>
    <w:rsid w:val="00F10848"/>
    <w:rsid w:val="00F10B68"/>
    <w:rsid w:val="00F11719"/>
    <w:rsid w:val="00F11F55"/>
    <w:rsid w:val="00F12037"/>
    <w:rsid w:val="00F12DEC"/>
    <w:rsid w:val="00F13151"/>
    <w:rsid w:val="00F15523"/>
    <w:rsid w:val="00F16391"/>
    <w:rsid w:val="00F166B8"/>
    <w:rsid w:val="00F2062B"/>
    <w:rsid w:val="00F21A18"/>
    <w:rsid w:val="00F21E61"/>
    <w:rsid w:val="00F220EA"/>
    <w:rsid w:val="00F222CD"/>
    <w:rsid w:val="00F231C1"/>
    <w:rsid w:val="00F232E9"/>
    <w:rsid w:val="00F24EA4"/>
    <w:rsid w:val="00F2625A"/>
    <w:rsid w:val="00F31A03"/>
    <w:rsid w:val="00F3283C"/>
    <w:rsid w:val="00F32D0F"/>
    <w:rsid w:val="00F343F0"/>
    <w:rsid w:val="00F34620"/>
    <w:rsid w:val="00F34AAB"/>
    <w:rsid w:val="00F34C4D"/>
    <w:rsid w:val="00F350CF"/>
    <w:rsid w:val="00F35582"/>
    <w:rsid w:val="00F35EE9"/>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6D9D"/>
    <w:rsid w:val="00F57909"/>
    <w:rsid w:val="00F612D6"/>
    <w:rsid w:val="00F61310"/>
    <w:rsid w:val="00F63400"/>
    <w:rsid w:val="00F636C6"/>
    <w:rsid w:val="00F63970"/>
    <w:rsid w:val="00F641E4"/>
    <w:rsid w:val="00F6433D"/>
    <w:rsid w:val="00F6573E"/>
    <w:rsid w:val="00F65D4C"/>
    <w:rsid w:val="00F662EB"/>
    <w:rsid w:val="00F67606"/>
    <w:rsid w:val="00F70327"/>
    <w:rsid w:val="00F70FEF"/>
    <w:rsid w:val="00F72FA8"/>
    <w:rsid w:val="00F73214"/>
    <w:rsid w:val="00F7360E"/>
    <w:rsid w:val="00F74636"/>
    <w:rsid w:val="00F75415"/>
    <w:rsid w:val="00F773F9"/>
    <w:rsid w:val="00F8101C"/>
    <w:rsid w:val="00F817B9"/>
    <w:rsid w:val="00F81CB7"/>
    <w:rsid w:val="00F82280"/>
    <w:rsid w:val="00F8235F"/>
    <w:rsid w:val="00F82B90"/>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5CA2"/>
    <w:rsid w:val="00FA6428"/>
    <w:rsid w:val="00FA7144"/>
    <w:rsid w:val="00FA7184"/>
    <w:rsid w:val="00FB1280"/>
    <w:rsid w:val="00FB1D9D"/>
    <w:rsid w:val="00FB2CC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C9C"/>
    <w:rsid w:val="00FC7D01"/>
    <w:rsid w:val="00FD0130"/>
    <w:rsid w:val="00FD0373"/>
    <w:rsid w:val="00FD0582"/>
    <w:rsid w:val="00FD0C93"/>
    <w:rsid w:val="00FD1062"/>
    <w:rsid w:val="00FD2589"/>
    <w:rsid w:val="00FD39AF"/>
    <w:rsid w:val="00FD4876"/>
    <w:rsid w:val="00FD4910"/>
    <w:rsid w:val="00FD52A3"/>
    <w:rsid w:val="00FD68D4"/>
    <w:rsid w:val="00FE00D9"/>
    <w:rsid w:val="00FE0D36"/>
    <w:rsid w:val="00FE0F39"/>
    <w:rsid w:val="00FE1186"/>
    <w:rsid w:val="00FE15D9"/>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 w:val="00FF6C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7724A"/>
  <w15:chartTrackingRefBased/>
  <w15:docId w15:val="{3734A244-01B2-42FF-93CF-68336DBA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6BA"/>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qFormat/>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semiHidden/>
    <w:unhideWhenUsed/>
    <w:rsid w:val="001B15E3"/>
    <w:rPr>
      <w:rFonts w:ascii="Calibri" w:eastAsia="Calibri" w:hAnsi="Calibri"/>
      <w:sz w:val="20"/>
      <w:szCs w:val="20"/>
      <w:lang w:eastAsia="en-US"/>
    </w:rPr>
  </w:style>
  <w:style w:type="character" w:customStyle="1" w:styleId="FootnoteTextChar">
    <w:name w:val="Footnote Text Char"/>
    <w:link w:val="FootnoteText"/>
    <w:semiHidden/>
    <w:rsid w:val="001B15E3"/>
    <w:rPr>
      <w:rFonts w:ascii="Calibri" w:eastAsia="Calibri" w:hAnsi="Calibri"/>
      <w:lang w:eastAsia="en-US"/>
    </w:rPr>
  </w:style>
  <w:style w:type="character" w:styleId="FootnoteReference">
    <w:name w:val="footnote reference"/>
    <w:semiHidden/>
    <w:unhideWhenUsed/>
    <w:rsid w:val="001B15E3"/>
    <w:rPr>
      <w:vertAlign w:val="superscript"/>
    </w:rPr>
  </w:style>
  <w:style w:type="paragraph" w:styleId="HTMLPreformatted">
    <w:name w:val="HTML Preformatted"/>
    <w:basedOn w:val="Normal"/>
    <w:link w:val="HTMLPreformattedChar"/>
    <w:uiPriority w:val="99"/>
    <w:semiHidden/>
    <w:unhideWhenUsed/>
    <w:rsid w:val="00167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1672C1"/>
    <w:rPr>
      <w:rFonts w:ascii="Courier New" w:hAnsi="Courier New" w:cs="Courier New"/>
    </w:rPr>
  </w:style>
  <w:style w:type="paragraph" w:styleId="NoSpacing">
    <w:name w:val="No Spacing"/>
    <w:qFormat/>
    <w:rsid w:val="00593C22"/>
    <w:pPr>
      <w:widowControl w:val="0"/>
    </w:pPr>
    <w:rPr>
      <w:rFonts w:ascii="Calibri" w:eastAsia="Calibri" w:hAnsi="Calibri"/>
      <w:sz w:val="22"/>
      <w:szCs w:val="22"/>
      <w:lang w:val="en-US" w:eastAsia="en-US"/>
    </w:rPr>
  </w:style>
  <w:style w:type="character" w:customStyle="1" w:styleId="spelle">
    <w:name w:val="spelle"/>
    <w:rsid w:val="00AD01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771">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2143425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70342854">
      <w:bodyDiv w:val="1"/>
      <w:marLeft w:val="0"/>
      <w:marRight w:val="0"/>
      <w:marTop w:val="0"/>
      <w:marBottom w:val="0"/>
      <w:divBdr>
        <w:top w:val="none" w:sz="0" w:space="0" w:color="auto"/>
        <w:left w:val="none" w:sz="0" w:space="0" w:color="auto"/>
        <w:bottom w:val="none" w:sz="0" w:space="0" w:color="auto"/>
        <w:right w:val="none" w:sz="0" w:space="0" w:color="auto"/>
      </w:divBdr>
      <w:divsChild>
        <w:div w:id="189491003">
          <w:marLeft w:val="0"/>
          <w:marRight w:val="0"/>
          <w:marTop w:val="0"/>
          <w:marBottom w:val="0"/>
          <w:divBdr>
            <w:top w:val="none" w:sz="0" w:space="0" w:color="auto"/>
            <w:left w:val="none" w:sz="0" w:space="0" w:color="auto"/>
            <w:bottom w:val="none" w:sz="0" w:space="0" w:color="auto"/>
            <w:right w:val="none" w:sz="0" w:space="0" w:color="auto"/>
          </w:divBdr>
        </w:div>
        <w:div w:id="1830487519">
          <w:marLeft w:val="0"/>
          <w:marRight w:val="0"/>
          <w:marTop w:val="0"/>
          <w:marBottom w:val="0"/>
          <w:divBdr>
            <w:top w:val="none" w:sz="0" w:space="0" w:color="auto"/>
            <w:left w:val="none" w:sz="0" w:space="0" w:color="auto"/>
            <w:bottom w:val="none" w:sz="0" w:space="0" w:color="auto"/>
            <w:right w:val="none" w:sz="0" w:space="0" w:color="auto"/>
          </w:divBdr>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25955344">
      <w:bodyDiv w:val="1"/>
      <w:marLeft w:val="0"/>
      <w:marRight w:val="0"/>
      <w:marTop w:val="0"/>
      <w:marBottom w:val="0"/>
      <w:divBdr>
        <w:top w:val="none" w:sz="0" w:space="0" w:color="auto"/>
        <w:left w:val="none" w:sz="0" w:space="0" w:color="auto"/>
        <w:bottom w:val="none" w:sz="0" w:space="0" w:color="auto"/>
        <w:right w:val="none" w:sz="0" w:space="0" w:color="auto"/>
      </w:divBdr>
      <w:divsChild>
        <w:div w:id="1942446360">
          <w:marLeft w:val="0"/>
          <w:marRight w:val="0"/>
          <w:marTop w:val="0"/>
          <w:marBottom w:val="0"/>
          <w:divBdr>
            <w:top w:val="none" w:sz="0" w:space="0" w:color="auto"/>
            <w:left w:val="none" w:sz="0" w:space="0" w:color="auto"/>
            <w:bottom w:val="none" w:sz="0" w:space="0" w:color="auto"/>
            <w:right w:val="none" w:sz="0" w:space="0" w:color="auto"/>
          </w:divBdr>
          <w:divsChild>
            <w:div w:id="2071227306">
              <w:marLeft w:val="0"/>
              <w:marRight w:val="0"/>
              <w:marTop w:val="0"/>
              <w:marBottom w:val="0"/>
              <w:divBdr>
                <w:top w:val="none" w:sz="0" w:space="0" w:color="auto"/>
                <w:left w:val="none" w:sz="0" w:space="0" w:color="auto"/>
                <w:bottom w:val="none" w:sz="0" w:space="0" w:color="auto"/>
                <w:right w:val="none" w:sz="0" w:space="0" w:color="auto"/>
              </w:divBdr>
            </w:div>
          </w:divsChild>
        </w:div>
        <w:div w:id="1993410539">
          <w:marLeft w:val="0"/>
          <w:marRight w:val="0"/>
          <w:marTop w:val="0"/>
          <w:marBottom w:val="0"/>
          <w:divBdr>
            <w:top w:val="none" w:sz="0" w:space="0" w:color="auto"/>
            <w:left w:val="none" w:sz="0" w:space="0" w:color="auto"/>
            <w:bottom w:val="none" w:sz="0" w:space="0" w:color="auto"/>
            <w:right w:val="none" w:sz="0" w:space="0" w:color="auto"/>
          </w:divBdr>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gov.lv/dati/lv/dataset/valsts-budzeta-izpilde-pa-iestadem-budzeta-programmam-apaksprogrammam-un-klasifikacijas-kodie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6.vid.gov.lv/VA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2407A656F6F514882F54CB8A364491F" ma:contentTypeVersion="11" ma:contentTypeDescription="Izveidot jaunu dokumentu." ma:contentTypeScope="" ma:versionID="d3d5c4438918fb816281639b5403bb09">
  <xsd:schema xmlns:xsd="http://www.w3.org/2001/XMLSchema" xmlns:xs="http://www.w3.org/2001/XMLSchema" xmlns:p="http://schemas.microsoft.com/office/2006/metadata/properties" xmlns:ns2="0026d777-7ea2-438a-b84f-f3e74dc1dd91" xmlns:ns3="7e61be5a-9f3f-46c0-883f-80dee6e80e67" targetNamespace="http://schemas.microsoft.com/office/2006/metadata/properties" ma:root="true" ma:fieldsID="8dcfc66b37ec03966e147243fa8ced5d" ns2:_="" ns3:_="">
    <xsd:import namespace="0026d777-7ea2-438a-b84f-f3e74dc1dd91"/>
    <xsd:import namespace="7e61be5a-9f3f-46c0-883f-80dee6e80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6d777-7ea2-438a-b84f-f3e74dc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1be5a-9f3f-46c0-883f-80dee6e80e6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4846E-8F68-4492-A044-C2378B08D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6d777-7ea2-438a-b84f-f3e74dc1dd91"/>
    <ds:schemaRef ds:uri="7e61be5a-9f3f-46c0-883f-80dee6e8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C462D-2E9D-46E6-9267-7C1E4DBFE0CA}">
  <ds:schemaRefs>
    <ds:schemaRef ds:uri="http://schemas.microsoft.com/sharepoint/v3/contenttype/forms"/>
  </ds:schemaRefs>
</ds:datastoreItem>
</file>

<file path=customXml/itemProps3.xml><?xml version="1.0" encoding="utf-8"?>
<ds:datastoreItem xmlns:ds="http://schemas.openxmlformats.org/officeDocument/2006/customXml" ds:itemID="{4E11EFC6-B5C2-4E9E-B193-E5EE8EB3F0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9191E0-E0CD-408E-A2E2-B4FE44F5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18</Pages>
  <Words>18298</Words>
  <Characters>10431</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MK noteikumu projekts "Ministru kabineta kārtības rullis"</vt:lpstr>
    </vt:vector>
  </TitlesOfParts>
  <Company/>
  <LinksUpToDate>false</LinksUpToDate>
  <CharactersWithSpaces>28672</CharactersWithSpaces>
  <SharedDoc>false</SharedDoc>
  <HLinks>
    <vt:vector size="12" baseType="variant">
      <vt:variant>
        <vt:i4>2490485</vt:i4>
      </vt:variant>
      <vt:variant>
        <vt:i4>3</vt:i4>
      </vt:variant>
      <vt:variant>
        <vt:i4>0</vt:i4>
      </vt:variant>
      <vt:variant>
        <vt:i4>5</vt:i4>
      </vt:variant>
      <vt:variant>
        <vt:lpwstr>https://data.gov.lv/dati/lv/dataset/valsts-budzeta-izpilde-pa-iestadem-budzeta-programmam-apaksprogrammam-un-klasifikacijas-kodiem</vt:lpwstr>
      </vt:variant>
      <vt:variant>
        <vt:lpwstr/>
      </vt:variant>
      <vt:variant>
        <vt:i4>7405672</vt:i4>
      </vt:variant>
      <vt:variant>
        <vt:i4>0</vt:i4>
      </vt:variant>
      <vt:variant>
        <vt:i4>0</vt:i4>
      </vt:variant>
      <vt:variant>
        <vt:i4>5</vt:i4>
      </vt:variant>
      <vt:variant>
        <vt:lpwstr>https://www6.vid.gov.lv/VAD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subject/>
  <dc:creator>Solveiga Līce</dc:creator>
  <cp:keywords/>
  <dc:description>Tālr. 67082915; fakss 67082961E-pasts: Solveiga.Lice@mk.gov.lv</dc:description>
  <cp:lastModifiedBy>Toms Ceļmillers</cp:lastModifiedBy>
  <cp:revision>188</cp:revision>
  <cp:lastPrinted>2021-05-11T22:14:00Z</cp:lastPrinted>
  <dcterms:created xsi:type="dcterms:W3CDTF">2021-08-19T00:01:00Z</dcterms:created>
  <dcterms:modified xsi:type="dcterms:W3CDTF">2021-09-14T08:55:00Z</dcterms:modified>
</cp:coreProperties>
</file>