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25-TA-981: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Plāns prioritāri veicamajiem pasākumiem "Aizsardzības industrijas un inovāciju atbalsta stratēģija 2025-2036" ieviešanai 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no 46., 47. un 48.uzdevuma kā līdzatbildīgā institūcija ir izslēgta DAIF Latvija, jo šādi pasākumi ir organizēti, sadarbojoties tieši Iekšlietu ministrijai un DAIF Latvijai, tai skaitā, arī Iekšlietu ministrijas Industrijas diena 2025., kura jau norisinājās š.g. 10.aprīlī.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dokumentā netika izcelti konkrēti nozares NVO, lai nodrošinātu dokumenta sinhronitāti un vienotu pieeju attiecībā uz nozares NVO pieminēšanu. Vienlaikus norādām, ka visas nozares NVO, t.sk. DAIF Latvija, ir konkrēti identificētas Plāna kopsavilkuma sadaļā. Vienota pieeja ir izvēlēta, lai, tostarp, demonstrētu atvērtību un iespēju jebkurai nozares NVO potenciāli piedalīties Plānā uzskaitītajos pasākumos. Attiecībā uz DAIF un IEM kopīgi rīkotajiem pasākumiem šīs izmaiņas neparedz nekādas sekas - gan aizvadītos, gan turpmāk plānotos pasākumus veic tie partneri, kas tos ir paredzējuši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02.12.2014. noteikumu Nr.737 “Attīstības plānošanas dokumentu izstrādes un ietekmes izvērtēšanas noteikumi” 25. un 25.6. punktiem aicinām plāna IV daļā norādīt informāciju par pasākumu izpildei pieejamo finansējumu, pievienojot aprēķinus par katra pasākuma (izņemot normatīvo aktu projektu izstrādi u.t.m.l) ietekmi uz valsts un pašvaldību budžetiem, ņemot vērā, ka minētie pasākumi nav iepriekš  tikuši plānoti valsts 2025.gada budžetā un būtu nepieciešams nodrošināt caurskatāmību par šiem izdevumiem un vismaz provizoriski vērtēt ieguldījumu iespējamos radītos ieguvumus.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ietvertie pasākumi 2025. gadam tiek organizēti attiecīgo atbildīgo institūciju piešķirto valsts budžeta līdzekļu ietvaros; turklāt, norādām, ka tā kā Stratēģijas izstrāde tika uzsākta jau 2024. gadā, tad lielākā daļa pasākumu plānotās izmaksas jau bija laicīgi apzinātas un iekļautas attiecīgo institūciju budžeta pieprasījumos; līdz ar to noraidām pieņēmumu, ka minētie pasākumi nav iepriekš tikuši plānoti valsts 2025. gada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Plāns prioritāri veicamajiem pasākumiem "Aizsardzības industrijas un inovāciju atbalsta stratēģija 2025-2036" ieviešanai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02.12.2014. noteikumu Nr.737 “Attīstības plānošanas dokumentu izstrādes un ietekmes izvērtēšanas noteikumi” 26.2. punktam aicinām rīkojumā par plānu norādīt termiņu, līdz kuram iesniedzams plāna ietekmes izvērtējums, jo tas nav noteikts arī attiecībā uz pašu stratēģiju.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ietekmes izvērtējums netiks iekļauts Rīkojuma projektā; vienlaikus norādām, ka Aizsardzības industrijas konsultatīvā padome būs mehānisms, ar kuru cita starpā sekot līdzi Plāna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Plāns prioritāri veicamajiem pasākumiem "Aizsardzības industrijas un inovāciju atbalsta stratēģija 2025-2036" ieviešanai 2025.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Aizsardzības, Ekonomikas un Iekšlietu ministrijas par atbildīgajām institūcijām plāna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 punktā vārda “plāns” rakstību, lietojot to ar lielo sākumburtu – “Plāns” –, atbilstoši MK rīkojuma projekta 1. punktā atrunātajam saīsinājumam.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Aizsardzības ministriju, Ekonomikas ministriju un Iekšlietu ministriju par atbildīgajām institūcijām Plāna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Nozares pētniecības un attīstības (P&amp;A) kompetenču centru izveide. </w:t>
            </w:r>
            <w:r w:rsidR="00000000" w:rsidRPr="00000000" w:rsidDel="00000000">
              <w:rPr>
                <w:rtl w:val="0"/>
              </w:rPr>
              <w:t xml:space="preserve">Jābūt vairākiem centriem, piemēram ar Aizsardzības ministrijas finansējumu partnerībā, līdzīgi MIC.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Pirmsakcelerācijas mentoringa un grantu programmas. </w:t>
            </w:r>
            <w:r w:rsidR="00000000" w:rsidRPr="00000000" w:rsidDel="00000000">
              <w:rPr>
                <w:rtl w:val="0"/>
              </w:rPr>
              <w:t xml:space="preserve"> Pirmsakcelerāciju pārvērst par pilnu militāro akseleratoru, piemēram, pašreiz paredzēts tikai mentoringa un grantu “pirmsakcelerācijas”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Aizsardzības ministrijas grantu konkurss militāra un divējāda lietojuma tehnoloģijām.</w:t>
            </w:r>
            <w:r w:rsidR="00000000" w:rsidRPr="00000000" w:rsidDel="00000000">
              <w:rPr>
                <w:rtl w:val="0"/>
              </w:rPr>
              <w:t xml:space="preserve"> Ieviest mini tipu mazo grantu konkursus, piemēram 100-250 tūkst. ļaujot ātri pārbaudīt ideju. To var īstenot Aizsardzības ministrijas grantu ietvarā, nosakot 2 uzsaukumus gadā ar vieglu pieteikumu (≤10 lpp.) un ≤60 dienu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ATIC restrukturizācijas 1. fāze un P&amp;A kompetenču centrs.</w:t>
            </w:r>
            <w:r w:rsidR="00000000" w:rsidRPr="00000000" w:rsidDel="00000000">
              <w:rPr>
                <w:rtl w:val="0"/>
              </w:rPr>
              <w:t xml:space="preserve"> Stratēģiski sasaistīt ATIC testēšanu ar kompetenču centru. Tagad ATIC restrukturizē atsevišķi, bet centrs attīstās privātajā sektorā. Kopīgs “one-stop-shop” (vienots kalendārs, vienoti protokoli, vienota  politika) mazinās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Inovāciju fonda izveide.</w:t>
            </w:r>
            <w:r w:rsidR="00000000" w:rsidRPr="00000000" w:rsidDel="00000000">
              <w:rPr>
                <w:rtl w:val="0"/>
              </w:rPr>
              <w:t xml:space="preserve"> Ātrāks lēmumu cikls Aizsardzības inovāciju fondam Fonda koncepts jāapstiprina jau 01.07., bet finansējums paredzēts tikai 01.11. Paātrinot līdz 01.09. (izmantojot budžeta grozījumus vai ALTUM avansēšanu), pirmie ieguldījumi jaunuzņēmumos var sākties 2025. gadā, nevis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Testēšanas un validācijas sistēma. </w:t>
            </w:r>
            <w:r w:rsidR="00000000" w:rsidRPr="00000000" w:rsidDel="00000000">
              <w:rPr>
                <w:rtl w:val="0"/>
              </w:rPr>
              <w:t xml:space="preserve">Veidot regulatīvo “smilškasti” bezpilota un MI risinājumiem. Droni, autonomija un MI ir izvēlēti par prioritāti, taču trūkst testa-regulatīvās vides.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Nr.40 un Nr.41, jo tie ir saistīti un viens no otra izrietoši uzdevumi.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šie ir viens ar otru saistīti uzdevumi, tai pašā laikā pasākums Nr. 40 identificē mērķi (noslēgtos līgumus), savukārt Nr. 41 identificē papildu veicamo pasākumu, ja mērķis netiek sasniegts. Ņemot vērā, ka par mērķa īstenošanu kā atbildīgā institūcija ir noteikta Attīstības finanšu institūcija Altum, savukārt par to, vai un kā šis mērķis ir sasniedzams, atbildīgā institūcija ir Ekonomikas ministrija, saglabājam esošo pasākumu sadalījumu nemainīgu.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34. punktu, norādot, vai aktivitātes uzsākšanai ar 1. maiju jau ir noslēgti līgumi, sagatavotas vienošanās. Vai arī vajadzības gadījumā koriģēt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aktivitātes ietvaros jau ir noslēgti līgumi, savukārt Plāns paredz, ka līdz š.g. 1. maijam tiek uzsākta P&amp;A projektu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norādam, ka būtiski ir katram šim pasākumam norādīt potenciālo/plānoto ietekmi uz kādu konkrēto Stratēģijā definēto vidēja un ilgtermiņa mērķu sasniedzamo rezultatīvo rādītāju (piemēram, maza/vidēja/liela ietekme), kā arī  identificēt plānotos kvantitatīvos un kvalitatīvos sasniedzamos rādītājus (Piemēram, “Uzsākta jaunā testēšanas un validācijas sistēma” nenorāda uz sasniegtu rezultātu, bet uz procesa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papildus informācijas sniegšana nodrošinātu arī iespēju prioritizēt īstenojamo pasākumu kopumu gan no laika, gan finanšu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iekļautie pasākumi sakrīt ar jau Stratēģijā noteiktajiem uzdevumiem sadaļā “Uzdevumi un rezultāti” un jaunajā Plāna redakcijā ir iekļautas norādes uz konkrētiem Stratēģijas rīcības virzieniem vai apakšvirzieniem; vienlaikus, Ministru kabineta 2025. gada 18. marta sēdē (protokols Nr. 11 45. §, 2.punktā 45. §, 2.punkts) tika noteikts uzdevums Aizsardzības ministrijai sadarbībā ar Ekonomikas ministriju un Iekšlietu ministriju līdz 2025. gada 8. aprīlim iesniegt Ministru kabinetā plānu 2025. gadā prioritāri veicamajiem pasākumiem "Aizsardzības industrijas un inovāciju atbalsta stratēģijas 2025-2036" ieviešanai. Atzīstam, ka priekšlikumā minētie ierosinājumi attiecībā uz sasniedzamo rezultātu ietekmes novērtēšanu un kvalitatīvo un kvantitatīvo rādītāju identificēšanu būtu noderīgi, taču, ņemot vērā, ka Plāna mērķis ir noteikt prioritāri veicamos pasākumus esošajā, 2025. gadā, ir nepieciešama Plāna apstiprināšana steidzamības kārtībā, lai visām iesaistītajām pusēm - gan publiskajā, gan privātajā sektorā - pēc iespējas drīzāk būtu skaidra nepieciešamā rīcība un iesaiste aizsardzības industrijas stiprināšanā.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pie rīcības virziena Nr.1 “Stipra un starptautiski konkurētspējīga aizsardzības tehnoloģiskā un industriālā bāze” pievienot pasākumu “Latvijas aizsardzības industriju nacionālā stenda izveide starptautiskajā izstādē DSEI 2025”, kur kā atbildīgā institūcija ir DAIF Latvija un līdzatbildīgā 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Plāna 20. punkts paredz, ka līdz šī gada beigām tiks noorganizēti vismaz 3 pasākumi aizsardzības industrijas iesaistei un atbalstam, kas iekļauj arī Latvijas aizsardzības industriju nacionālā stenda izveidei starptautiskajā izstādē DSEI 2025, tāpēc, lai novērstu uzdevumu pārklāšanos, atsevišķs Plāna pasākums netiks 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pie Rīcības virziena Nr. 2 “Aizsardzības industrijas integrācija NBS uzdevumu izpildē” pievienot pasākumu “Industrijas diena NBS un uzņēmumu spēju demonstrācijus”, kur kā atbildīgās institūcijas ir AM, NBS un DAIF Latvija.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Plāna 19. un 20. punkts paredz, attiecīgi, NVO organizētu pasākumu finansēšanas konkursa izsludināšanu līdz š.g. 1 jūnijam un Noorganizēti vismaz 3 pasākumi aizsardzības industrijas iesaistei un atbalstam, kas potenciāli var iekļaut arī DAIF Latvijas organizētās industrijas dienas NBS, tāpēc, lai novērstu uzdevumu pārklāšanos, atsevišķs Plāna pasākums netiks 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plānā norādīt korektu Latvijas Drošības un aizsardzības industriju federācijas nosaukuma saīsinājumu: DAIF Latvija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21. un 22. uzdevumā "Valsts pētījumu programmas “Aizsardzības inovāciju pētījumu programma” jaunā cikla uzsākšana" noteiktos termiņus. Priekšnoteikums konkursa nolikuma publicēšanai un pieteikšanās izsludināšanai ir programmas ietvara definēšana Stratēģiskās vadības padomē un ietvara apstiprināšana Ministru kabinetā. Ņemot vērā, ka 01.06.2025. termiņš ir nepilnu pusotru mēnesi pēc atzinuma sniegšanas, termiņš rada vērā ņemamu uzdevuma neizpildes vai kavējuma risku.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norādītie termiņi ir diezgan īsi, taču, ņemot vērā valsts budžeta izmantošanas ciklu, norādītais termiņš ir atbilstošs.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plāns 2025. gadam - Aizsardzības industrijas un inovāciju atbalsta stratēģija 2025-2036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 ir norādīta kā līdzatbildīgā institūcija pie 1. un 2. pasākuma, lūgums iekļaut Iekšlietu ministriju Industrijas konsultatīvās padomes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ir iekļauta Konsultatīvās padomes pieaicināmo institūciju sarakstā, līdzīgi kā tas ir ar EM, LIAA un citām institūcijām. Konsultatīvā padomes modelis galvenokārt ietver AM un nozares NVO, ļaujot piesaistīt konkrētas iestādes un institūcijas atkarībā no jautājumiem, kas ir iekļauti Padomes darba kārtībā. Tādā veidā tiek taupīti institūciju administratīvie resursi un nodrošināta efektīva Padomes darbība, nodrošinot, ka klātesošas ir tikai tās institūcijas, kurām ir konkrēta ar aizsardzības nozari izskatāma jautājuma specifika.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25-TA-981</w:t>
    </w:r>
    <w:r>
      <w:br/>
    </w:r>
    <w:r w:rsidR="00000000" w:rsidRPr="00000000" w:rsidDel="00000000">
      <w:rPr>
        <w:rtl w:val="0"/>
      </w:rPr>
      <w:t xml:space="preserve">20.05.2025. 00.00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25-TA-981</w:t>
    </w:r>
    <w:r>
      <w:br/>
    </w:r>
    <w:r w:rsidR="00000000" w:rsidRPr="00000000" w:rsidDel="00000000">
      <w:rPr>
        <w:rtl w:val="0"/>
      </w:rPr>
      <w:t xml:space="preserve">20.05.2025. 00.00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Izziņa_25-TA-981.docx</dc:title>
</cp:coreProperties>
</file>

<file path=docProps/custom.xml><?xml version="1.0" encoding="utf-8"?>
<Properties xmlns="http://schemas.openxmlformats.org/officeDocument/2006/custom-properties" xmlns:vt="http://schemas.openxmlformats.org/officeDocument/2006/docPropsVTypes"/>
</file>