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23-TA-1059: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5. jūlija noteikumos Nr. 445 "Pedagogu darba samaksas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jūlija noteikumos Nr. 445 "Pedagogu darba samaksas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izprotot nepieciešamību pēc iespējas ātrāk nodrošināt skaidrību pedagogiem par plānoto darba samaksas pieaugumu, konceptuāli neiebilst pret Ministru kabineta noteikumu projekta tālāku virzību, vienlaikus vēršam uzmanību, ka Izglītības un zinātnes ministrija kā izglītības politikas veidotāja ir atbildīga par š.g. 18.aprīļa Ministru kabineta sēdes, apstiprinot Ministru kabineta rīkojuma projektu "Par pedagogu zemākās darba samaksas likmes  pieauguma grafiku laikposmam no 2023. gada 1. septembra līdz 2025. gada 31. decembrim", protokollēmumā doto uzdevumu un Ministru kabineta 2023.gada 18.aprīļa rīkojumā Nr.226 noteikto nosacījumu izpildi, kā arī atbildīgu lēmumu pieņemšanu, tajā skaitā par aprēķināto finansējumu jaunā pedagogu zemākās darba samaksas likmes pieauguma grafika ieviešanai un, ja radīsies nepieciešamība pēc papildus finansējuma, kas pārsniegs aprēķināto, tad tas ir nodrošināms esošo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jūlija noteikumos Nr. 445 "Pedagogu darba samaksas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2.pielikumā "Ministru kabineta 2016. gada 5. jūlija noteikumu Nr. 445 3. pielikums "Pedagogu darba slodze un zemākā mēneša darba algas likme"" (turpmāk - 3.pielikums) 10.punktā ietverta ļoti plaša pedagogu un pedagogu amatiem pielīdzināmie amati izglītības iestādē. Šajos amatos nebūtu nosakāma darba slodze mācību stundu/nodarbību vadīšanai procentos un darba slodzes apmēru noteic daba devējs/izglītības iestādes vadītājs pieejamo finanšu resursu ietvaros. Piemēram, izglītības bibliotekāram, skolotājam mentoram, izglītības iestādes muzeju pedagogam, pedagogam karjeras konsultantam, logopēdam, psihologam u.c. amata pienākumu ietvaros pamatā nav mācību stundu/nodarbību vadīšana, bet citi darba organizācijas amata pienākumu veikšanas veidi. Līdz ar to lūdzam nenoteikt 3.pielikuma 7. un 10.punktā ietvertajiem amatiem mācību stundu/nodarbību vadīšanai, bet noteikt, ka darba slodzē nedēļā ietverti visi amata aprakstā ietvertie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jc w:val="right"/>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pielikums</w:t>
            </w:r>
          </w:p>
          <w:p w:rsidP="00000000" w:rsidRDefault="00000000" w:rsidR="00000000" w:rsidRPr="00000000" w:rsidDel="00000000">
            <w:pPr>
              <w:contextualSpacing w:val="0"/>
              <w:jc w:val="right"/>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Ministru kabineta</w:t>
            </w:r>
          </w:p>
          <w:p w:rsidP="00000000" w:rsidRDefault="00000000" w:rsidR="00000000" w:rsidRPr="00000000" w:rsidDel="00000000">
            <w:pPr>
              <w:contextualSpacing w:val="0"/>
              <w:jc w:val="right"/>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2016. gada 5. jūlija</w:t>
            </w:r>
          </w:p>
          <w:p w:rsidP="00000000" w:rsidRDefault="00000000" w:rsidR="00000000" w:rsidRPr="00000000" w:rsidDel="00000000">
            <w:pPr>
              <w:contextualSpacing w:val="0"/>
              <w:jc w:val="right"/>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noteikumiem Nr. 445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Pedagogu darba slodze un zemākā mēneša darba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14"/>
              <w:gridCol w:w="4443"/>
              <w:gridCol w:w="3101"/>
              <w:gridCol w:w="3101"/>
              <w:gridCol w:w="1281"/>
              <w:gridCol w:w="1281"/>
              <w:tblGridChange w:id="0">
                <w:tblGrid>
                  <w:gridCol w:w="514"/>
                  <w:gridCol w:w="4443"/>
                  <w:gridCol w:w="3101"/>
                  <w:gridCol w:w="3101"/>
                  <w:gridCol w:w="1281"/>
                  <w:gridCol w:w="1281"/>
                </w:tblGrid>
              </w:tblGridChange>
            </w:tblGrid>
            <w:tr>
              <w:tc>
                <w:tcPr>
                  <w:shd w:fill="ffffff"/>
                  <w:vAlign w:val="center"/>
                  <w:noWrap w:val="true"/>
                  <w:vMerge w:val="restart"/>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Nr.</w:t>
                  </w:r>
                  <w:r>
                    <w:tab/>
                  </w:r>
                  <w:r>
                    <w:br/>
                  </w:r>
                  <w:r w:rsidR="00000000" w:rsidRPr="00000000" w:rsidDel="00000000">
                    <w:rPr>
                      <w:rtl w:val="0"/>
                    </w:rPr>
                    <w:t xml:space="preserve">p. k.</w:t>
                  </w:r>
                </w:p>
              </w:tc>
              <w:tc>
                <w:tcPr>
                  <w:shd w:fill="ffffff"/>
                  <w:vAlign w:val="center"/>
                  <w:noWrap w:val="true"/>
                  <w:vMerge w:val="restart"/>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Amata nosaukums</w:t>
                  </w:r>
                </w:p>
              </w:tc>
              <w:tc>
                <w:tcPr>
                  <w:shd w:fill="ffffff"/>
                  <w:vAlign w:val="center"/>
                  <w:noWrap w:val="true"/>
                  <w:gridSpan w:val="2"/>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Darba slodze nedēļā</w:t>
                  </w:r>
                </w:p>
              </w:tc>
              <w:tc>
                <w:tcPr>
                  <w:shd w:fill="ffffff"/>
                  <w:vAlign w:val="center"/>
                  <w:noWrap w:val="true"/>
                  <w:vMerge w:val="restart"/>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Darba slodze gadā</w:t>
                  </w:r>
                </w:p>
              </w:tc>
              <w:tc>
                <w:tcPr>
                  <w:shd w:fill="ffffff"/>
                  <w:vAlign w:val="center"/>
                  <w:noWrap w:val="true"/>
                  <w:vMerge w:val="restart"/>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Zemākā mēneša darba algas likme (EUR)</w:t>
                  </w:r>
                </w:p>
              </w:tc>
            </w:tr>
            <w:tr>
              <w:tc>
                <w:tcPr>
                  <w:shd w:fill="ffffff"/>
                  <w:vAlign w:val="center"/>
                  <w:noWrap w:val="true"/>
                  <w:vMerge w:val="contin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astronomiskajās stundās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mācību stundu/nodarbību vadīšanai</w:t>
                  </w:r>
                </w:p>
              </w:tc>
              <w:tc>
                <w:tcPr>
                  <w:shd w:fill="ffffff"/>
                  <w:vAlign w:val="center"/>
                  <w:noWrap w:val="true"/>
                  <w:vMerge w:val="contin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skolotājs, koncertmeistars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ne vairāk kā 65 % no astronomiskajām stundām*</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1320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1020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pamatizglītības un vispārējās vidējās izglītības pedagogs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ne vairāk kā 65 % no astronomiskajām stundām* </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1584</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1224</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izglītības mūzikā, mākslā un dejā pedagogs, koncertmeistars (izņemot Kultūras ministrijas padotības profesionālās izglītības iestādes)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 ** </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1320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1020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sporta izglītības pedagogs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 ** </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1320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1020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skolotājs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 ** </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1320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1020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Skolotājs baleta mākslinieks profesionālās vidējās izglītības iestādē</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924</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1020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psihologs, sociālais pedagogs, skolotājs logopēds, speciālais pedagogs, pedagoga palīgs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1320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1020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izglītības pedagogs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1760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1240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metodiķis, pirmsskolas izglītības metodiķis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1760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1360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organizators izglītības iestādē, surdopedagogs speciālās izglītības iestādes dzirdes kabinetā, tiflopedagogs speciālās izglītības iestādes redzes kabinetā, arodmācības (amatmācības) skolotājs, internāta skolotājs vispārējās un speciālās izglītības iestādē, skolotājs izglītības iestādes dienesta viesnīcā, izglītības iestādes bibliotekārs, skolotājs mentors, izglītības iestādes muzeju pedagogs, pedagogs karjeras konsultants, pagarinātās dienas grupas skolotājs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1760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1360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vadītājs, izglītības iestādes vadītāja vietnieks, struktūrvienības vadītājs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1760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saskaņā ar 1.pielikuma 3.tabulu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Lektors, asistents un koncertmeistars augstākās izglītības iestādē</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600–1000 </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saskaņā ar 1.pielikuma 1.tabulu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Profesors, asociētais profesors, docents augstākās izglītības iestādē</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600–1000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saskaņā ar 1.pielikuma 1.tabulu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Lektors, asistents koledžā</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840–1000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saskaņā ar 1.pielikuma 2.tabulu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Docents koledžā</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840–1000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saskaņā ar 1.pielikuma 2.tabulu</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vadītājs un pedagogs var vienoties par citu darba slodzes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vadītājam un pedagogam vienojoties, darba slodzi nedēļā mācību stundu/nodarbību vadīšanai var palielināt, bet ne vairāk kā par divām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amata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ietverti visi amata aprakstā ietvertie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Sakidrojam,  ka ir jau noteikumu projektā noteikta atruna, ka izglītības iestādes vadītājs un pedagogs var vienoties par citu darba slodzes sadalījumu.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"Cita informācija" norādīts sekojošais: "Ja projekta īstenošanas rezultātā, aprēķinot dotāciju pedagogu darba samaksai, radīsies nepieciešamība pēc papildu finanšu līdzekļiem, finansējums nodrošināms attiecīgo ministriju apstiprinātā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jautājums par papildu nepieciešamo finansējumu nākamajiem gadiem, tajā skaitā 2024.gadam, ir skatāms budžeta veidošanas procesā, ierosinām  teikumu par papildu finanšu līdzekļu meklēšanu ministriju budžetos attiecināt tikai uz 2023.gadu.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īstenošanas rezultātā, aprēķinot dotāciju pedagogu darba samaksai, radīsies nepieciešamība pēc papildu finanšu līdzekļiem 2023.gadā, finansējums nodrošināms attiecīgo ministriju apstiprinātā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Vispārējās izglītības, profesionālās izglītības, izņemot profesionālās vidējās izglītības iestādes, un interešu izglītības iestāžu vadītāju vietniekiem mēneša darba algas likmi nosaka izglītības iestādes vadītājs ne mazāk kā 80 procentu apmērā no izglītības iestādes vadītājam šo noteikumu 1. pielikuma 3. tabulā noteiktās zemākās mēneša darba algas likmes, bet struktūrvienību vadītājiem – ne mazāk kā 60 procentu apmērā no izglītības iestādes vadītājam šo noteikumu 1. pielikuma 3. tabulā noteiktās zemākās mēneša darba algas likmes, ievērojot, ka vadītāja vietniekam un struktūrvienības vadītājam mēneša darba algas likme ir ne zemāka, kā pedagogu zemākās mēneša darba algas likme pie darba slodzes 40 stundas nedēļā. Profesionālās vidējās izglītības iestāžu vadītāju vietniekiem un struktūrvienību vadītājiem zemāko mēneša darba algas likmi nosaka izglītības iestādes vadītājs ne mazāk kā 80 procentu apmērā no izglītības iestādes vadītājam šo noteikumu 1. pielikuma 2. tabulā noteiktās zemākās mēneša darba algas likmes, ievērojot, ka vadītāja vietniekam un struktūrvienības vadītājam mēneša darba algas likme ir ne zemāka, kā pedagogu zemākās mēneša darba algas likme pie darba slodzes 40 stundas nedēļā.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2.pielikumā "Ministru kabineta 2016. gada 5. jūlija noteikumu Nr. 445 3. pielikums "Pedagogu darba slodze un zemākā mēneša darba algas likme"" (turpmāk - 3.pielikums) ietverti amati ar atšķirīgu darba slodzi nedēļā, tajā skaitā vairākos punktos ir paredzēta slodze 40 stundu apmērā ar atšķirīgu noteikto darba samaksu. Projekta 7.punktā norādītais, ka darba algas likmes noteikšanā jāievēro princips - mēneša darba algas likme ir ne zemāka, kā pedagogu zemākās mēneša darba algas likme pie darba slodzes 40 stundas nedēļā. No minētās normas nav saprotams, kuru no 3.pielikumā ietvertajiem punktiem piemērot. Līdz ar to rosinām precizēt konkrēto amata nosaukumu, kuru piemērot nosakot mēneša darba algas likmi, t.i. piemēram, vispārējās pamatizglītības un vispārējās vidējās izglītības pedagogu un profesionālās izglītības skolotāja zemākās mēneša darba algas likme pie darba slodzes 40 stundas nedēļā.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profesionālās izglītības, izņemot profesionālās vidējās izglītības iestādes, un interešu izglītības iestāžu vadītāju vietniekiem mēneša darba algas likmi nosaka izglītības iestādes vadītājs ne mazāk kā 80 procentu apmērā no izglītības iestādes vadītājam šo noteikumu 1. pielikuma 3. tabulā noteiktās zemākās mēneša darba algas likmes, bet struktūrvienību vadītājiem – ne mazāk kā 60 procentu apmērā no izglītības iestādes vadītājam šo noteikumu 1. pielikuma 3. tabulā noteiktās zemākās mēneša darba algas likmes, ievērojot, ka vadītāja vietniekam un struktūrvienības vadītājam mēneša darba algas likme ir ne zemāka, kā vispārējās pamatizglītības un vispārējās vidējās izglītības pedagogu zemākās mēneša darba algas likme pie darba slodzes 40 stundas nedēļā. Profesionālās vidējās izglītības iestāžu vadītāju vietniekiem un struktūrvienību vadītājiem zemāko mēneša darba algas likmi nosaka izglītības iestādes vadītājs ne mazāk kā 80 procentu apmērā no izglītības iestādes vadītājam šo noteikumu 1. pielikuma 2. tabulā noteiktās zemākās mēneša darba algas likmes, ievērojot, ka vadītāja vietniekam un struktūrvienības vadītājam mēneša darba algas likme ir ne zemāka, kā profesionālās izglītības skolotāja zemākās mēneša darba algas likme pie darba slodzes 40 stundas nedēļā.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tiek minēts piemērs, kā piemēro minēto normu.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Vispārējās izglītības, profesionālās izglītības, izņemot profesionālās vidējās izglītības iestādes, un interešu izglītības iestāžu vadītāju vietniekiem mēneša darba algas likmi nosaka izglītības iestādes vadītājs ne mazāk kā 80 procentu apmērā no izglītības iestādes vadītājam šo noteikumu 1. pielikuma 3. tabulā noteiktās zemākās mēneša darba algas likmes, bet struktūrvienību vadītājiem – ne mazāk kā 60 procentu apmērā no izglītības iestādes vadītājam šo noteikumu 1. pielikuma 3. tabulā noteiktās zemākās mēneša darba algas likmes, ievērojot, ka vadītāja vietniekam un struktūrvienības vadītājam mēneša darba algas likme ir ne zemāka, kā pedagogu zemākās mēneša darba algas likme pie darba slodzes 40 stundas nedēļā. Profesionālās vidējās izglītības iestāžu vadītāju vietniekiem un struktūrvienību vadītājiem zemāko mēneša darba algas likmi nosaka izglītības iestādes vadītājs ne mazāk kā 80 procentu apmērā no izglītības iestādes vadītājam šo noteikumu 1. pielikuma 2. tabulā noteiktās zemākās mēneša darba algas likmes, ievērojot, ka vadītāja vietniekam un struktūrvienības vadītājam mēneša darba algas likme ir ne zemāka, kā pedagogu zemākās mēneša darba algas likme pie darba slodzes 40 stundas nedēļā.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2.pielikumā "Ministru kabineta 2016. gada 5. jūlija noteikumu Nr. 445 3. pielikums "Pedagogu darba slodze un zemākā mēneša darba algas likme"" (turpmāk - 3.pielikums) 11.punktā noteikti nosacījumi izglītības iestādes vadītājam, izglītības iestādes vadītāja vietniekam, struktūrvienības vadītājam, zemākās mēneša darba algas likmi nosakot saskaņā ar 1.pielikuma 3.tabulu. Tomēr izglītības iestādes vadītāja vietnieka, struktūrvienības vadītāja zemākās mēneša darba algas likmes noteikšanas nosacījumus nosaka grozītais MK noteikumu Nr.445 7.punkts, kas paredz procentuālu atalgojumu no zemākās iestādes vadītājam noteiktās samaksas saskaņā ar 1.pielikuma 3.tabulu. Lūdzam 3.pielikumu papildināt ar atsevišķu punktu izglītības iestādes vadītāja vietnieka, struktūrvienības vadītāja zemākās mēneša darba algas likmes noteikšana saskaņā ar grozīto MK noteikumu Nr.445 7.punktā noteiktajiem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14"/>
              <w:gridCol w:w="4443"/>
              <w:gridCol w:w="3101"/>
              <w:gridCol w:w="3101"/>
              <w:gridCol w:w="1281"/>
              <w:gridCol w:w="1281"/>
              <w:tblGridChange w:id="0">
                <w:tblGrid>
                  <w:gridCol w:w="514"/>
                  <w:gridCol w:w="4443"/>
                  <w:gridCol w:w="3101"/>
                  <w:gridCol w:w="3101"/>
                  <w:gridCol w:w="1281"/>
                  <w:gridCol w:w="1281"/>
                </w:tblGrid>
              </w:tblGridChange>
            </w:tblGrid>
            <w:tr>
              <w:tc>
                <w:tcPr>
                  <w:shd w:fill="ffffff"/>
                  <w:vAlign w:val="center"/>
                  <w:noWrap w:val="true"/>
                  <w:vMerge w:val="restart"/>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Nr.</w:t>
                  </w:r>
                  <w:r>
                    <w:tab/>
                  </w:r>
                  <w:r>
                    <w:br/>
                  </w:r>
                  <w:r w:rsidR="00000000" w:rsidRPr="00000000" w:rsidDel="00000000">
                    <w:rPr>
                      <w:rtl w:val="0"/>
                    </w:rPr>
                    <w:t xml:space="preserve">p. k.</w:t>
                  </w:r>
                </w:p>
              </w:tc>
              <w:tc>
                <w:tcPr>
                  <w:shd w:fill="ffffff"/>
                  <w:vAlign w:val="center"/>
                  <w:noWrap w:val="true"/>
                  <w:vMerge w:val="restart"/>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Amata nosaukums</w:t>
                  </w:r>
                </w:p>
              </w:tc>
              <w:tc>
                <w:tcPr>
                  <w:shd w:fill="ffffff"/>
                  <w:vAlign w:val="center"/>
                  <w:noWrap w:val="true"/>
                  <w:gridSpan w:val="2"/>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Darba slodze nedēļā</w:t>
                  </w:r>
                </w:p>
              </w:tc>
              <w:tc>
                <w:tcPr>
                  <w:shd w:fill="ffffff"/>
                  <w:vAlign w:val="center"/>
                  <w:noWrap w:val="true"/>
                  <w:vMerge w:val="restart"/>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Darba slodze gadā</w:t>
                  </w:r>
                </w:p>
              </w:tc>
              <w:tc>
                <w:tcPr>
                  <w:shd w:fill="ffffff"/>
                  <w:vAlign w:val="center"/>
                  <w:noWrap w:val="true"/>
                  <w:vMerge w:val="restart"/>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Zemākā mēneša darba algas likme (EUR)</w:t>
                  </w:r>
                </w:p>
              </w:tc>
            </w:tr>
            <w:tr>
              <w:tc>
                <w:tcPr>
                  <w:shd w:fill="ffffff"/>
                  <w:vAlign w:val="center"/>
                  <w:noWrap w:val="true"/>
                  <w:vMerge w:val="contin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astronomiskajās stundās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mācību stundu/nodarbību vadīšanai</w:t>
                  </w:r>
                </w:p>
              </w:tc>
              <w:tc>
                <w:tcPr>
                  <w:shd w:fill="ffffff"/>
                  <w:vAlign w:val="center"/>
                  <w:noWrap w:val="true"/>
                  <w:vMerge w:val="contin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skolotājs, koncertmeistars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ne vairāk kā 65 % no astronomiskajām stundām*</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1320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1020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pamatizglītības un vispārējās vidējās izglītības pedagogs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ne vairāk kā 65 % no astronomiskajām stundām* </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1584</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1224</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izglītības mūzikā, mākslā un dejā pedagogs, koncertmeistars (izņemot Kultūras ministrijas padotības profesionālās izglītības iestādes)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 ** </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1320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1020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sporta izglītības pedagogs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 ** </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1320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1020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skolotājs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 ** </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1320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1020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Skolotājs baleta mākslinieks profesionālās vidējās izglītības iestādē</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924</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1020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psihologs, sociālais pedagogs, skolotājs logopēds, speciālais pedagogs, pedagoga palīgs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1320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1020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izglītības pedagogs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1760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1240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metodiķis, pirmsskolas izglītības metodiķis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1760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1360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organizators izglītības iestādē, surdopedagogs speciālās izglītības iestādes dzirdes kabinetā, tiflopedagogs speciālās izglītības iestādes redzes kabinetā, arodmācības (amatmācības) skolotājs, internāta skolotājs vispārējās un speciālās izglītības iestādē, skolotājs izglītības iestādes dienesta viesnīcā, izglītības iestādes bibliotekārs, skolotājs mentors, izglītības iestādes muzeju pedagogs, pedagogs karjeras konsultants, pagarinātās dienas grupas skolotājs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1760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1360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1760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saskaņā ar 1.pielikuma 3.tabulu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vadītāja vietnieks, struktūrvienības vadītājs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1760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saskaņā ar šo noteikumu 7.punktā noteiktajiem nosacījumiem</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Lektors, asistents un koncertmeistars augstākās izglītības iestādē</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600–1000 </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saskaņā ar 1.pielikuma 1.tabulu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Profesors, asociētais profesors, docents augstākās izglītības iestādē</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600–1000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saskaņā ar 1.pielikuma 1.tabulu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Lektors, asistents koledžā</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840–1000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saskaņā ar 1.pielikuma 2.tabulu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Docents koledžā</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840–1000</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saskaņā ar 1.pielikuma 2.tabulu</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vadītājs un pedagogs var vienoties par citu darba slodzes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vadītājam un pedagogam vienojoties, darba slodzi nedēļā mācību stundu/nodarbību vadīšanai var palielināt, bet ne vairāk kā par divām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amata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ietverti visi amata aprakstā ietvertie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7.punktā ir noteikts.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23-TA-1059</w:t>
    </w:r>
    <w:r>
      <w:br/>
    </w:r>
    <w:r w:rsidR="00000000" w:rsidRPr="00000000" w:rsidDel="00000000">
      <w:rPr>
        <w:rtl w:val="0"/>
      </w:rPr>
      <w:t xml:space="preserve">26.04.2023. 13.23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23-TA-1059</w:t>
    </w:r>
    <w:r>
      <w:br/>
    </w:r>
    <w:r w:rsidR="00000000" w:rsidRPr="00000000" w:rsidDel="00000000">
      <w:rPr>
        <w:rtl w:val="0"/>
      </w:rPr>
      <w:t xml:space="preserve">26.04.2023. 13.23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Izziņa_23-TA-1059.docx</dc:title>
</cp:coreProperties>
</file>

<file path=docProps/custom.xml><?xml version="1.0" encoding="utf-8"?>
<Properties xmlns="http://schemas.openxmlformats.org/officeDocument/2006/custom-properties" xmlns:vt="http://schemas.openxmlformats.org/officeDocument/2006/docPropsVTypes"/>
</file>