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26-TA-403: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12. aprīļa noteikumos Nr. 209 "Iekārtu elektrodrošības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15.04.2026. 19:30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sniegto ietekmes aprakstu juridiskajām personām, nodrošinot tā atbilstību izziņā sniegtajai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regulējums radīs īslaicīgu un mērķtiecīgu administratīvo slogu uzņēmējiem un valsts iestādēm, savukārt izziņā skaidrots, ka noteikumu projekts neparedz jaunus regulārus vai sistemātiskus informācijas sniegšanas pienākumus, dokumentu sagatavošanu vai citas konkrētas administratīvās darbības, kas būtu vērtējamas kā administratīvais slogs vai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ietekme nav saistīta ar administratīvā sloga palielinājumu Ministru kabineta 2021. gada 7. septembra noteikumu Nr. 617 izpratnē, bet gan ar iespējamu vispārīgu darbības procesu pielāgošanu ārkārtas situācijas gadījumā, kas ir epizodiska un atkarīga no konkrēta režīma aktivizēšanas.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vai precizēt anotācijā ietverto apgalvojumu par administratīvā sloga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norādīt, ka regulējums neparedz jaunus informācijas sniegšanas pienākumus vai atbilstības prasības, un administratīvais slogs nemainās;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nepieciešams, ietekmi raksturot kvalitatīvi, norādot uz iespējamu procesu pielāgošanu ārkārtas situācijās, nevis administratīvā sloga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anotācijas 2.1. apakšpunktā sniegtais ietekmes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13.03.2026. 17:20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12. aprīļa noteikumos Nr. 209 "Iekārtu elektrodrošības noteikumi"” paredz papildu pienākumus juridiskām personām un valsts iestādēm, kas saistīti ar piemērojamo standartu un specifikāciju identificēšanu, atbilstības nodrošināšanu un procesu pielāgošanu ārkārtas situācijas režīmam. Vienlaikus noteikumu projekta anotācijas 2.sadaļā norādīts, ka iekšējā tirgus ārkārtas situācijas režīma ieviešana, lai krīzes situācijās nodrošinātu ātrāku būtisku preču nonākšanu tirgū, radīs īslaicīgu un mērķtiecīgu administratīvo slogu gan uzņēmējiem, gan valsts iestādēm, jo būs jāpielāgo savas darbības mehānismi ārkārtas situāciju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noteikumu Nr. 617 “Tiesību akta projekta sākotnējās ietekmes izvērtēšanas kārtība” 15. punktam tiesību aktu projektos ir nepieciešams veikt administratīvo vai atbilstības izmaksu monetāru novērtējumu, ja tas paredz vai maina pienākumus, kuru izpildei nepieciešama konkrētu procesu nodrošināšana vai informācijas sagatavošana un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OECD administratīvā sloga mazināšanas metodoloģijā (pieejams: https://oecd-opsi.org/wp-content/uploads/2019/12/admin_simplification_methodology_16.08.pdf) ir uzsvērts, ka iestādēm, izstrādājot tiesību aktu projektus, ir pienākums izvērtēt to ietekmi uz administratīvajām vai atbilstības izmaksām, jo jebkurš regulējums, kas ievieš strukturētus pienākumus vai procedūras, var radīt kvantitatīvi novērtējamu administratīvo slogu vai atbilstības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anotācijas 2. un 7. sadaļu, tostarp veicot atbilstošus administratīvo un atbilstības izmaksu aprēķinus. Skaidrojam, ka novērtējums par fiziskām un juridiskām personām ir aizpildāms anotācijas 2. sadaļā, savukārt par valsts vai pašvaldību institūcijām – anotācijas 7. sadaļā). Administratīvo un atbilstības izmaksu monetārā novērtējuma veikšanai aicinām izmantot Vadlīnijās tiesību akta sākotnējās ietekmes novērtēšanai un novērtējuma ziņojuma sagatavošanai ietverto metodiku (22.–25. lpp.), piemērojot paplašināto standarta izmaksu modeli. Metodiskie materiāli aprēķinu veikšanai pieejami Ministru kabineta tīmekļvietnē sadaļā “Metodiskās rokasgrāmatas un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projekti, ar kuriem tiek ieviests iekšējā tirgus ārkārtas situācijas režīms, atšķiras pēc to ietverto pienākumu apjoma un piemērojamo procedūru intensitātes. Konkrētajā noteikumu projektā netiek paredzēti tādi papildu administratīvie procesi kā pieteikuma sagatavošana ārkārtas atļaujas saņemšanai, informācijas sniegšana Eiropas Komisijai vai specifiska marķējuma nodrošināšana uz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projekts neievieš jaunus regulārus vai sistemātiskus informācijas sniegšanas pienākumus vai procedūras, kas prasītu papildu administratīvo darbību veikšanu no ekonomikas dalībniekiem vai tirgus uzraudzības iestādēm. Iespējamā ietekme ir saistīta vienīgi ar vispārīgu procesu pielāgošanu ārkārtas situācijas gadījumā, kas ir epizodiska un atkarīga no iekšējā tirgus ārkārtas situācijas režīma aktivizēšanas Eiropas Savienības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netiek noteikti konkrēti izmērāmi administratīvie pienākumi (piemēram, informācijas iesniegšana, dokumentu sagatavošana vai maksājumu veikšana), administratīvo un atbilstības izmaksu monetārs novērtējums atbilstoši standarta izmaksu modelim šajā gadījumā nav piemērojams.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8.</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Atbilstības prezumpcija un tirgus uzraudzība iekārtām, kas atzītas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 Iekārtas, kuras ar Eiropas Savienības tieši piemērojamiem tiesību aktiem atzītas par krīzē būtiskām precēm, uzskaitot piemērojamos standartus vai nosakot kopējas specifikācijas iekārtām, atbilst šo noteikumu būtiskajām drošuma prasībām, uz kurām attiecas šie standarti, kopējās specifikācijas vai to daļas. No nākamās dienas pēc iekšējā tirgus ārkārtas situācijas izbeigšanās ražotājiem vairs nav iespējams paļauties uz atbilstības prezumpciju, ko nodrošina Eiropas Komisijas īstenošanas aktos norādītie standarti vai kopējās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2</w:t>
            </w:r>
            <w:r w:rsidR="00000000" w:rsidRPr="00000000" w:rsidDel="00000000">
              <w:rPr>
                <w:rtl w:val="0"/>
              </w:rPr>
              <w:t xml:space="preserve"> Ja vien nav pietiekama iemesla uzskatīt, ka iekārtas, uz kurām attiecas standarti vai kopējās specifikācijas, kas minētas 76.</w:t>
            </w:r>
            <w:r w:rsidR="00000000" w:rsidRPr="00000000" w:rsidDel="00000000">
              <w:rPr>
                <w:vertAlign w:val="superscript"/>
                <w:rtl w:val="0"/>
              </w:rPr>
              <w:t xml:space="preserve">1</w:t>
            </w:r>
            <w:r w:rsidR="00000000" w:rsidRPr="00000000" w:rsidDel="00000000">
              <w:rPr>
                <w:rtl w:val="0"/>
              </w:rPr>
              <w:t xml:space="preserve"> punktā, rada risku cilvēku veselībai vai drošībai, iekārtas, kas atbilst minētajiem standartiem vai kopējām specifikācijām un kas laistas tirgū, uzskata par atbilstošām šo noteikumu būtiskajām drošuma pamatprasībām.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3</w:t>
            </w:r>
            <w:r w:rsidR="00000000" w:rsidRPr="00000000" w:rsidDel="00000000">
              <w:rPr>
                <w:rtl w:val="0"/>
              </w:rPr>
              <w:t xml:space="preserve"> Tirgus uzraudzības iestādes uzraudzību prioritāri veic tām iekārtām, kuras atzītas par krīzē būtisku preci."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projektā norādes "būtiskajām drošuma pamatprasībām" vietā nav jāizmanto norāde uz būtiskajām drošuma prasībām, ievērojot grozītajos noteikumos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(76.</w:t>
            </w:r>
            <w:r w:rsidR="00000000" w:rsidRPr="00000000" w:rsidDel="00000000">
              <w:rPr>
                <w:vertAlign w:val="superscript"/>
                <w:rtl w:val="0"/>
              </w:rPr>
              <w:t xml:space="preserve">1</w:t>
            </w:r>
            <w:r w:rsidR="00000000" w:rsidRPr="00000000" w:rsidDel="00000000">
              <w:rPr>
                <w:rtl w:val="0"/>
              </w:rPr>
              <w:t xml:space="preserve"> punkts)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8.</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Atbilstības prezumpcija un tirgus uzraudzība iekārtām, kas atzītas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 Iekārtas, kuras ar Eiropas Savienības tieši piemērojamiem tiesību aktiem atzītas par krīzē būtiskām precēm, uzskaitot piemērojamos standartus vai nosakot kopējas specifikācijas iekārtām, atbilst šo noteikumu būtiskajām drošuma prasībām, uz kurām attiecas šie standarti, kopējās specifikācijas vai to daļas. No nākamās dienas pēc iekšējā tirgus ārkārtas situācijas izbeigšanās ražotājiem vairs nav iespējams paļauties uz atbilstības prezumpciju, ko nodrošina Eiropas Savienības tieši piemērojamos tiesību aktos norādītie standarti vai kopējās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2</w:t>
            </w:r>
            <w:r w:rsidR="00000000" w:rsidRPr="00000000" w:rsidDel="00000000">
              <w:rPr>
                <w:rtl w:val="0"/>
              </w:rPr>
              <w:t xml:space="preserve"> Ja vien nav pietiekama iemesla uzskatīt, ka iekārtas, uz kurām attiecas standarti vai kopējās specifikācijas, kas minētas 76.</w:t>
            </w:r>
            <w:r w:rsidR="00000000" w:rsidRPr="00000000" w:rsidDel="00000000">
              <w:rPr>
                <w:vertAlign w:val="superscript"/>
                <w:rtl w:val="0"/>
              </w:rPr>
              <w:t xml:space="preserve">1</w:t>
            </w:r>
            <w:r w:rsidR="00000000" w:rsidRPr="00000000" w:rsidDel="00000000">
              <w:rPr>
                <w:rtl w:val="0"/>
              </w:rPr>
              <w:t xml:space="preserve"> punktā, rada risku cilvēku veselībai vai drošībai, iekārtas, kas atbilst minētajiem standartiem vai kopējām specifikācijām un kas laistas tirgū, uzskata par atbilstošām šo noteikumu būtiskajām drošuma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3</w:t>
            </w:r>
            <w:r w:rsidR="00000000" w:rsidRPr="00000000" w:rsidDel="00000000">
              <w:rPr>
                <w:rtl w:val="0"/>
              </w:rPr>
              <w:t xml:space="preserve"> Tirgus uzraudzības iestādes uzraudzību prioritāri veic tām iekārtām, kuras atzītas par krīzē būtisku preci."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8.</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Atbilstības prezumpcija un tirgus uzraudzība iekārtām, kas atzītas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 Iekārtas, kuras ar Eiropas Savienības tieši piemērojamiem tiesību aktiem atzītas par krīzē būtiskām precēm, uzskaitot piemērojamos standartus vai nosakot kopējas specifikācijas iekārtām, atbilst šo noteikumu būtiskajām drošuma prasībām, uz kurām attiecas šie standarti, kopējās specifikācijas vai to daļas. No nākamās dienas pēc iekšējā tirgus ārkārtas situācijas izbeigšanās ražotājiem vairs nav iespējams paļauties uz atbilstības prezumpciju, ko nodrošina Eiropas Komisijas īstenošanas aktos norādītie standarti vai kopējās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2</w:t>
            </w:r>
            <w:r w:rsidR="00000000" w:rsidRPr="00000000" w:rsidDel="00000000">
              <w:rPr>
                <w:rtl w:val="0"/>
              </w:rPr>
              <w:t xml:space="preserve"> Ja vien nav pietiekama iemesla uzskatīt, ka iekārtas, uz kurām attiecas standarti vai kopējās specifikācijas, kas minētas 76.</w:t>
            </w:r>
            <w:r w:rsidR="00000000" w:rsidRPr="00000000" w:rsidDel="00000000">
              <w:rPr>
                <w:vertAlign w:val="superscript"/>
                <w:rtl w:val="0"/>
              </w:rPr>
              <w:t xml:space="preserve">1</w:t>
            </w:r>
            <w:r w:rsidR="00000000" w:rsidRPr="00000000" w:rsidDel="00000000">
              <w:rPr>
                <w:rtl w:val="0"/>
              </w:rPr>
              <w:t xml:space="preserve"> punktā, rada risku cilvēku veselībai vai drošībai, iekārtas, kas atbilst minētajiem standartiem vai kopējām specifikācijām un kas laistas tirgū, uzskata par atbilstošām šo noteikumu būtiskajām drošuma pamatprasībām.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3</w:t>
            </w:r>
            <w:r w:rsidR="00000000" w:rsidRPr="00000000" w:rsidDel="00000000">
              <w:rPr>
                <w:rtl w:val="0"/>
              </w:rPr>
              <w:t xml:space="preserve"> Tirgus uzraudzības iestādes uzraudzību prioritāri veic tām iekārtām, kuras atzītas par krīzē būtisku preci."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konsekventi atsaukties uz Eiropas Savienības tieši piemērojamiem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attiecīgās noteikumu projekta normas.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8.</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Atbilstības prezumpcija un tirgus uzraudzība iekārtām, kas atzītas par krīzē būtiskām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1</w:t>
            </w:r>
            <w:r w:rsidR="00000000" w:rsidRPr="00000000" w:rsidDel="00000000">
              <w:rPr>
                <w:rtl w:val="0"/>
              </w:rPr>
              <w:t xml:space="preserve"> Iekārtas, kuras ar Eiropas Savienības tieši piemērojamiem tiesību aktiem atzītas par krīzē būtiskām precēm, uzskaitot piemērojamos standartus vai nosakot kopējas specifikācijas iekārtām, atbilst šo noteikumu būtiskajām drošuma prasībām, uz kurām attiecas šie standarti, kopējās specifikācijas vai to daļas. No nākamās dienas pēc iekšējā tirgus ārkārtas situācijas izbeigšanās ražotājiem vairs nav iespējams paļauties uz atbilstības prezumpciju, ko nodrošina Eiropas Savienības tieši piemērojamos tiesību aktos norādītie standarti vai kopējās specifikācijas.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2</w:t>
            </w:r>
            <w:r w:rsidR="00000000" w:rsidRPr="00000000" w:rsidDel="00000000">
              <w:rPr>
                <w:rtl w:val="0"/>
              </w:rPr>
              <w:t xml:space="preserve"> Ja vien nav pietiekama iemesla uzskatīt, ka iekārtas, uz kurām attiecas standarti vai kopējās specifikācijas, kas minētas 76.</w:t>
            </w:r>
            <w:r w:rsidR="00000000" w:rsidRPr="00000000" w:rsidDel="00000000">
              <w:rPr>
                <w:vertAlign w:val="superscript"/>
                <w:rtl w:val="0"/>
              </w:rPr>
              <w:t xml:space="preserve">1</w:t>
            </w:r>
            <w:r w:rsidR="00000000" w:rsidRPr="00000000" w:rsidDel="00000000">
              <w:rPr>
                <w:rtl w:val="0"/>
              </w:rPr>
              <w:t xml:space="preserve"> punktā, rada risku cilvēku veselībai vai drošībai, iekārtas, kas atbilst minētajiem standartiem vai kopējām specifikācijām un kas laistas tirgū, uzskata par atbilstošām šo noteikumu būtiskajām drošuma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3</w:t>
            </w:r>
            <w:r w:rsidR="00000000" w:rsidRPr="00000000" w:rsidDel="00000000">
              <w:rPr>
                <w:rtl w:val="0"/>
              </w:rPr>
              <w:t xml:space="preserve"> Tirgus uzraudzības iestādes uzraudzību prioritāri veic tām iekārtām, kuras atzītas par krīzē būtisku preci."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jo pirmšķietami grozītās direktīvas 2. pants tiek pārņemts ar noteikumu projekta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1.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26-TA-403</w:t>
    </w:r>
    <w:r>
      <w:br/>
    </w:r>
    <w:r w:rsidR="00000000" w:rsidRPr="00000000" w:rsidDel="00000000">
      <w:rPr>
        <w:rtl w:val="0"/>
      </w:rPr>
      <w:t xml:space="preserve">29.04.2026. 10.10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26-TA-403</w:t>
    </w:r>
    <w:r>
      <w:br/>
    </w:r>
    <w:r w:rsidR="00000000" w:rsidRPr="00000000" w:rsidDel="00000000">
      <w:rPr>
        <w:rtl w:val="0"/>
      </w:rPr>
      <w:t xml:space="preserve">29.04.2026. 10.10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Izziņa_26-TA-403.docx</dc:title>
</cp:coreProperties>
</file>

<file path=docProps/custom.xml><?xml version="1.0" encoding="utf-8"?>
<Properties xmlns="http://schemas.openxmlformats.org/officeDocument/2006/custom-properties" xmlns:vt="http://schemas.openxmlformats.org/officeDocument/2006/docPropsVTypes"/>
</file>