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17DA6" w14:textId="77777777" w:rsidR="00516F63" w:rsidRDefault="00516F63" w:rsidP="00516F63">
      <w:pPr>
        <w:rPr>
          <w:rFonts w:eastAsia="Times New Roman"/>
          <w:lang w:val="en-US"/>
        </w:rPr>
      </w:pPr>
      <w:r>
        <w:rPr>
          <w:rFonts w:eastAsia="Times New Roman"/>
          <w:b/>
          <w:bCs/>
          <w:lang w:val="en-US"/>
        </w:rPr>
        <w:t>From:</w:t>
      </w:r>
      <w:r>
        <w:rPr>
          <w:rFonts w:eastAsia="Times New Roman"/>
          <w:lang w:val="en-US"/>
        </w:rPr>
        <w:t xml:space="preserve"> Amanda </w:t>
      </w:r>
      <w:proofErr w:type="spellStart"/>
      <w:r>
        <w:rPr>
          <w:rFonts w:eastAsia="Times New Roman"/>
          <w:lang w:val="en-US"/>
        </w:rPr>
        <w:t>Mūrniece</w:t>
      </w:r>
      <w:proofErr w:type="spellEnd"/>
      <w:r>
        <w:rPr>
          <w:rFonts w:eastAsia="Times New Roman"/>
          <w:lang w:val="en-US"/>
        </w:rPr>
        <w:t xml:space="preserve"> &lt;Amanda.Murniece@tm.gov.lv&gt; </w:t>
      </w:r>
      <w:r>
        <w:rPr>
          <w:rFonts w:eastAsia="Times New Roman"/>
          <w:lang w:val="en-US"/>
        </w:rPr>
        <w:br/>
      </w:r>
      <w:r>
        <w:rPr>
          <w:rFonts w:eastAsia="Times New Roman"/>
          <w:b/>
          <w:bCs/>
          <w:lang w:val="en-US"/>
        </w:rPr>
        <w:t>Sent:</w:t>
      </w:r>
      <w:r>
        <w:rPr>
          <w:rFonts w:eastAsia="Times New Roman"/>
          <w:lang w:val="en-US"/>
        </w:rPr>
        <w:t xml:space="preserve"> Wednesday, June 9, 2021 7:56 PM</w:t>
      </w:r>
      <w:r>
        <w:rPr>
          <w:rFonts w:eastAsia="Times New Roman"/>
          <w:lang w:val="en-US"/>
        </w:rPr>
        <w:br/>
      </w:r>
      <w:r>
        <w:rPr>
          <w:rFonts w:eastAsia="Times New Roman"/>
          <w:b/>
          <w:bCs/>
          <w:lang w:val="en-US"/>
        </w:rPr>
        <w:t>To:</w:t>
      </w:r>
      <w:r>
        <w:rPr>
          <w:rFonts w:eastAsia="Times New Roman"/>
          <w:lang w:val="en-US"/>
        </w:rPr>
        <w:t xml:space="preserve"> ZM &lt;pasts@zm.gov.lv&gt;</w:t>
      </w:r>
      <w:r>
        <w:rPr>
          <w:rFonts w:eastAsia="Times New Roman"/>
          <w:lang w:val="en-US"/>
        </w:rPr>
        <w:br/>
      </w:r>
      <w:r>
        <w:rPr>
          <w:rFonts w:eastAsia="Times New Roman"/>
          <w:b/>
          <w:bCs/>
          <w:lang w:val="en-US"/>
        </w:rPr>
        <w:t>Cc:</w:t>
      </w:r>
      <w:r>
        <w:rPr>
          <w:rFonts w:eastAsia="Times New Roman"/>
          <w:lang w:val="en-US"/>
        </w:rPr>
        <w:t xml:space="preserve"> Sandra Smuļko &lt;Sandra.Smulko@zm.gov.lv&gt;; </w:t>
      </w:r>
      <w:proofErr w:type="spellStart"/>
      <w:r>
        <w:rPr>
          <w:rFonts w:eastAsia="Times New Roman"/>
          <w:lang w:val="en-US"/>
        </w:rPr>
        <w:t>Andra</w:t>
      </w:r>
      <w:proofErr w:type="spellEnd"/>
      <w:r>
        <w:rPr>
          <w:rFonts w:eastAsia="Times New Roman"/>
          <w:lang w:val="en-US"/>
        </w:rPr>
        <w:t xml:space="preserve"> </w:t>
      </w:r>
      <w:proofErr w:type="spellStart"/>
      <w:r>
        <w:rPr>
          <w:rFonts w:eastAsia="Times New Roman"/>
          <w:lang w:val="en-US"/>
        </w:rPr>
        <w:t>Reinfelde</w:t>
      </w:r>
      <w:proofErr w:type="spellEnd"/>
      <w:r>
        <w:rPr>
          <w:rFonts w:eastAsia="Times New Roman"/>
          <w:lang w:val="en-US"/>
        </w:rPr>
        <w:t xml:space="preserve"> &lt;Andra.Reinfelde@TM.GOV.LV&gt;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Atb</w:t>
      </w:r>
      <w:proofErr w:type="spellEnd"/>
      <w:r>
        <w:rPr>
          <w:rFonts w:eastAsia="Times New Roman"/>
          <w:lang w:val="en-US"/>
        </w:rPr>
        <w:t xml:space="preserve">.: MK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projekta</w:t>
      </w:r>
      <w:proofErr w:type="spellEnd"/>
      <w:r>
        <w:rPr>
          <w:rFonts w:eastAsia="Times New Roman"/>
          <w:lang w:val="en-US"/>
        </w:rPr>
        <w:t xml:space="preserve"> </w:t>
      </w:r>
      <w:proofErr w:type="spellStart"/>
      <w:r>
        <w:rPr>
          <w:rFonts w:eastAsia="Times New Roman"/>
          <w:lang w:val="en-US"/>
        </w:rPr>
        <w:t>saskaņošana</w:t>
      </w:r>
      <w:proofErr w:type="spellEnd"/>
      <w:r>
        <w:rPr>
          <w:rFonts w:eastAsia="Times New Roman"/>
          <w:lang w:val="en-US"/>
        </w:rPr>
        <w:t xml:space="preserve"> VSS -195</w:t>
      </w:r>
    </w:p>
    <w:p w14:paraId="5A5E4263" w14:textId="77777777" w:rsidR="00516F63" w:rsidRDefault="00516F63" w:rsidP="00516F63"/>
    <w:p w14:paraId="6D25BE2F" w14:textId="77777777" w:rsidR="00516F63" w:rsidRDefault="00516F63" w:rsidP="00516F63">
      <w:pPr>
        <w:rPr>
          <w:rFonts w:eastAsia="Times New Roman"/>
          <w:color w:val="000000"/>
          <w:sz w:val="24"/>
          <w:szCs w:val="24"/>
        </w:rPr>
      </w:pPr>
      <w:r>
        <w:rPr>
          <w:rFonts w:eastAsia="Times New Roman"/>
          <w:color w:val="000000"/>
          <w:sz w:val="24"/>
          <w:szCs w:val="24"/>
        </w:rPr>
        <w:t>Labdien,</w:t>
      </w:r>
    </w:p>
    <w:p w14:paraId="5BFDF254" w14:textId="77777777" w:rsidR="00516F63" w:rsidRDefault="00516F63" w:rsidP="00516F63">
      <w:pPr>
        <w:rPr>
          <w:rFonts w:eastAsia="Times New Roman"/>
          <w:color w:val="000000"/>
          <w:sz w:val="24"/>
          <w:szCs w:val="24"/>
        </w:rPr>
      </w:pPr>
    </w:p>
    <w:p w14:paraId="38467807" w14:textId="77777777" w:rsidR="00516F63" w:rsidRDefault="00516F63" w:rsidP="00516F63">
      <w:pPr>
        <w:rPr>
          <w:rFonts w:eastAsia="Times New Roman"/>
          <w:color w:val="000000"/>
          <w:sz w:val="24"/>
          <w:szCs w:val="24"/>
        </w:rPr>
      </w:pPr>
      <w:r>
        <w:rPr>
          <w:rFonts w:eastAsia="Times New Roman"/>
          <w:color w:val="000000"/>
          <w:sz w:val="24"/>
          <w:szCs w:val="24"/>
        </w:rPr>
        <w:t xml:space="preserve">Tieslietu ministrija ir izskatījusi Zemkopības ministrijas precizēto Ministru kabineta noteikumu projektu “Grozījumi Ministru kabineta 2010. gada 2. februāra noteikumos Nr. 104 “Pārtikas uzņēmumu atzīšanas un reģistrācijas kārtība”” (turpmāk - projekts) un atbalsta tā virzību, izsakot šādus </w:t>
      </w:r>
      <w:r>
        <w:rPr>
          <w:rFonts w:eastAsia="Times New Roman"/>
          <w:b/>
          <w:bCs/>
          <w:color w:val="000000"/>
          <w:sz w:val="24"/>
          <w:szCs w:val="24"/>
        </w:rPr>
        <w:t>iebildumus</w:t>
      </w:r>
      <w:r>
        <w:rPr>
          <w:rFonts w:eastAsia="Times New Roman"/>
          <w:color w:val="000000"/>
          <w:sz w:val="24"/>
          <w:szCs w:val="24"/>
        </w:rPr>
        <w:t>:</w:t>
      </w:r>
    </w:p>
    <w:p w14:paraId="02777385" w14:textId="77777777" w:rsidR="00516F63" w:rsidRDefault="00516F63" w:rsidP="00516F63">
      <w:pPr>
        <w:numPr>
          <w:ilvl w:val="0"/>
          <w:numId w:val="1"/>
        </w:numPr>
        <w:spacing w:before="100" w:beforeAutospacing="1" w:after="100" w:afterAutospacing="1"/>
        <w:rPr>
          <w:rFonts w:eastAsia="Times New Roman"/>
          <w:color w:val="000000"/>
          <w:sz w:val="24"/>
          <w:szCs w:val="24"/>
        </w:rPr>
      </w:pPr>
      <w:r>
        <w:rPr>
          <w:rFonts w:eastAsia="Times New Roman"/>
          <w:color w:val="000000"/>
          <w:sz w:val="24"/>
          <w:szCs w:val="24"/>
        </w:rPr>
        <w:t xml:space="preserve">Tieslietu ministrija uztur projekta izziņas 3. punktā norādīto iebildumu un </w:t>
      </w:r>
      <w:r>
        <w:rPr>
          <w:rFonts w:eastAsia="Times New Roman"/>
          <w:b/>
          <w:bCs/>
          <w:color w:val="000000"/>
          <w:sz w:val="24"/>
          <w:szCs w:val="24"/>
        </w:rPr>
        <w:t>neatbalsta projekta 8. un 9. punktā izteiktos grozījumus</w:t>
      </w:r>
      <w:r>
        <w:rPr>
          <w:rFonts w:eastAsia="Times New Roman"/>
          <w:color w:val="000000"/>
          <w:sz w:val="24"/>
          <w:szCs w:val="24"/>
        </w:rPr>
        <w:t>.</w:t>
      </w:r>
      <w:r>
        <w:rPr>
          <w:rFonts w:eastAsia="Times New Roman"/>
          <w:color w:val="000000"/>
          <w:sz w:val="24"/>
          <w:szCs w:val="24"/>
        </w:rPr>
        <w:br/>
      </w:r>
    </w:p>
    <w:p w14:paraId="3B977A07" w14:textId="77777777" w:rsidR="00516F63" w:rsidRDefault="00516F63" w:rsidP="00516F63">
      <w:pPr>
        <w:spacing w:before="100" w:beforeAutospacing="1" w:after="100" w:afterAutospacing="1"/>
        <w:ind w:left="720"/>
        <w:rPr>
          <w:rFonts w:eastAsia="Times New Roman"/>
          <w:color w:val="000000"/>
          <w:sz w:val="24"/>
          <w:szCs w:val="24"/>
        </w:rPr>
      </w:pPr>
      <w:r>
        <w:rPr>
          <w:rFonts w:eastAsia="Times New Roman"/>
          <w:color w:val="000000"/>
          <w:sz w:val="24"/>
          <w:szCs w:val="24"/>
        </w:rPr>
        <w:t xml:space="preserve">Pārtikas aprites uzraudzības likuma (turpmāk - likums) 1. panta 9. punkts nosaka, ka pārtikas uzņēmums ir persona, kura iesaistīta kādā no pārtikas aprites posmiem. Lai gan likuma 5. panta pirmā daļa nosaka, ka pārtikas uzņēmums iesaistās pārtikas apritē tikai tad, ja ir atzīts vai reģistrēts, uzņēmums var iesaistīties pārtikas apritē, arī vēl neesot atzīts vai reģistrēts. </w:t>
      </w:r>
      <w:r>
        <w:rPr>
          <w:rFonts w:eastAsia="Times New Roman"/>
          <w:b/>
          <w:bCs/>
          <w:color w:val="000000"/>
          <w:sz w:val="24"/>
          <w:szCs w:val="24"/>
        </w:rPr>
        <w:t>Pārtikas un veterinārajam dienestam (turpmāk - PVD) ir tiesības un pienākums veikt kontroli nepieciešamības gadījumā jebkurā uzņēmumā, kas iesaistās pārtikas apritē,</w:t>
      </w:r>
      <w:r>
        <w:rPr>
          <w:rFonts w:eastAsia="Times New Roman"/>
          <w:color w:val="000000"/>
          <w:sz w:val="24"/>
          <w:szCs w:val="24"/>
        </w:rPr>
        <w:t> ņemot vērā likuma un Regulas 853/2004, Regulas 852/2004 un Oficiālo kontroļu regulas noteikumus un mērķus (sk. projekta izziņas 3. punktā norādīto Tieslietu ministrijas pamatojumu). Tikai tā PVD var nodrošināt kvalitatīvas un cilvēka veselībai, dzīvībai un videi nekaitīgas pārtikas apriti, novēršot risku, veicinot tirdzniecību un aizsargājot patērētāju intereses (tā pildot likuma 2. pantā noteikto mērķi).</w:t>
      </w:r>
    </w:p>
    <w:p w14:paraId="3D3127AD" w14:textId="6861D470" w:rsidR="00516F63" w:rsidRDefault="00516F63" w:rsidP="00516F63">
      <w:pPr>
        <w:spacing w:before="100" w:beforeAutospacing="1" w:after="100" w:afterAutospacing="1"/>
        <w:ind w:left="720"/>
        <w:rPr>
          <w:rFonts w:eastAsia="Times New Roman"/>
          <w:color w:val="000000"/>
          <w:sz w:val="24"/>
          <w:szCs w:val="24"/>
        </w:rPr>
      </w:pPr>
      <w:r>
        <w:rPr>
          <w:rFonts w:eastAsia="Times New Roman"/>
          <w:color w:val="000000"/>
          <w:sz w:val="24"/>
          <w:szCs w:val="24"/>
        </w:rPr>
        <w:t>Papildus norādām, ka nav pieļaujams, ka pārtikas uzņēmums tiek reģistrēts uzraudzības objektu reģistrā (turpmāk – reģistrs), ja Pārtikas un veterinārais dienests nav pārliecinājies, ka uzņēmums atbilst pārtikas apriti regulējošo normatīvo aktu prasībām.</w:t>
      </w:r>
      <w:r>
        <w:rPr>
          <w:rFonts w:eastAsia="Times New Roman"/>
          <w:color w:val="000000"/>
          <w:sz w:val="24"/>
          <w:szCs w:val="24"/>
        </w:rPr>
        <w:br/>
        <w:t>Administratīvā procesa likuma 67. panta otrajā daļā ir noteiktas administratīvā akta sastāvdaļas, kas cita starpā paredz, ka administratīvā aktā ietver faktu konstatējumu, administratīvā akta pamatojumu, it sevišķi ietverot lietderības apsvērumus, kā arī atsevišķu piemēroto tiesību normu uzskaitījumu (norādot arī normatīvā akta pantu, tā daļu, punktu vai apakšpunktu). Līdz ar to, pieņemot lēmumu par pārtikas uzņēmuma reģistrāciju reģistrā, PVD cita starpā ir jāievēro Administratīvā procesa likuma 67. panta otrajā daļā noteiktais.</w:t>
      </w:r>
    </w:p>
    <w:p w14:paraId="27546680" w14:textId="6E059CEB" w:rsidR="00516F63" w:rsidRDefault="00516F63" w:rsidP="00516F63">
      <w:pPr>
        <w:spacing w:before="100" w:beforeAutospacing="1" w:after="100" w:afterAutospacing="1"/>
        <w:ind w:left="720"/>
      </w:pPr>
      <w:r>
        <w:t xml:space="preserve">Turklāt no Ministru kabineta 2019. gada 17. decembra noteikumu Nr. 681 "Noteikumi par kārtību, kādā aprēķina un veic maksājumus par Pārtikas un veterinārā dienesta valsts uzraudzības un kontroles darbībām, un maksas </w:t>
      </w:r>
      <w:r>
        <w:lastRenderedPageBreak/>
        <w:t>pakalpojumiem" 1. pielikuma 15. punktā noteiktā izriet, ka persona maksā par PVD inspektora veikto novērtēšanu (pārbaudi)</w:t>
      </w:r>
      <w:r>
        <w:rPr>
          <w:rStyle w:val="apple-converted-space"/>
        </w:rPr>
        <w:t> </w:t>
      </w:r>
      <w:r>
        <w:rPr>
          <w:b/>
          <w:bCs/>
        </w:rPr>
        <w:t>pirms </w:t>
      </w:r>
      <w:r>
        <w:t xml:space="preserve">reģistrācijas. Līdz ar to secināms, ka nepieciešams veikt attiecīgo pārbaudi pirms pārtikas uzņēmuma reģistrācijas reģistrā. </w:t>
      </w:r>
    </w:p>
    <w:p w14:paraId="3FBF1DF4" w14:textId="530B3EA0" w:rsidR="00516F63" w:rsidRDefault="00516F63" w:rsidP="00516F63">
      <w:pPr>
        <w:spacing w:before="100" w:beforeAutospacing="1" w:after="100" w:afterAutospacing="1"/>
        <w:ind w:left="720"/>
        <w:rPr>
          <w:rFonts w:eastAsia="Times New Roman"/>
          <w:color w:val="000000"/>
          <w:sz w:val="24"/>
          <w:szCs w:val="24"/>
        </w:rPr>
      </w:pPr>
      <w:r>
        <w:rPr>
          <w:rFonts w:eastAsia="Times New Roman"/>
          <w:color w:val="000000"/>
          <w:sz w:val="24"/>
          <w:szCs w:val="24"/>
        </w:rPr>
        <w:t>Vēršam arī uzmanību uz to, ka normatīvā akta projektā neietver normas, kas dublē augstāka spēka tiesību normās ietverto normatīvo regulējumu. Administratīvā procesa likuma 70. pantā ir noteikts regulējums par administratīvā akta paziņošanu. Līdz ar to projekta 8. punktā paredzētajā grozījumā nav nepieciešams paredzēt attiecīgā lēmuma paziņošanas kārtību. Tāpat būtu nepieciešams paredzēt attiecīgu grozījumu arī citās noteikumu vienībās (piemēram, noteikumu 8. punktā, 14.1. apakšpunktā).</w:t>
      </w:r>
      <w:r>
        <w:rPr>
          <w:rFonts w:eastAsia="Times New Roman"/>
          <w:color w:val="000000"/>
          <w:sz w:val="24"/>
          <w:szCs w:val="24"/>
        </w:rPr>
        <w:br/>
      </w:r>
    </w:p>
    <w:p w14:paraId="21ECE399" w14:textId="77777777" w:rsidR="00516F63" w:rsidRDefault="00516F63" w:rsidP="00516F63">
      <w:pPr>
        <w:numPr>
          <w:ilvl w:val="0"/>
          <w:numId w:val="1"/>
        </w:numPr>
        <w:spacing w:before="100" w:beforeAutospacing="1" w:after="100" w:afterAutospacing="1"/>
        <w:rPr>
          <w:color w:val="000000"/>
        </w:rPr>
      </w:pPr>
      <w:r>
        <w:rPr>
          <w:rFonts w:eastAsia="Times New Roman"/>
          <w:color w:val="000000"/>
          <w:sz w:val="24"/>
          <w:szCs w:val="24"/>
          <w:shd w:val="clear" w:color="auto" w:fill="FFFFFF"/>
        </w:rPr>
        <w:t xml:space="preserve">Lūdzam svītrot projekta 10. punktu, kā arī </w:t>
      </w:r>
      <w:r>
        <w:rPr>
          <w:rFonts w:eastAsia="Times New Roman"/>
          <w:b/>
          <w:bCs/>
          <w:color w:val="000000"/>
          <w:sz w:val="24"/>
          <w:szCs w:val="24"/>
          <w:shd w:val="clear" w:color="auto" w:fill="FFFFFF"/>
        </w:rPr>
        <w:t>svītrot spēkā esošo noteikumu 27. punktu</w:t>
      </w:r>
      <w:r>
        <w:rPr>
          <w:rFonts w:eastAsia="Times New Roman"/>
          <w:color w:val="000000"/>
          <w:sz w:val="24"/>
          <w:szCs w:val="24"/>
          <w:shd w:val="clear" w:color="auto" w:fill="FFFFFF"/>
        </w:rPr>
        <w:t>, ņemot vērā projekta izziņas 4. punktā norādīto Tieslietu ministrijas pamatojumu. Vienlaikus lūdzam attiecīgi precizēt spēkā esošo noteikumu 25.</w:t>
      </w:r>
      <w:r>
        <w:rPr>
          <w:rFonts w:eastAsia="Times New Roman"/>
          <w:color w:val="000000"/>
          <w:sz w:val="24"/>
          <w:szCs w:val="24"/>
          <w:shd w:val="clear" w:color="auto" w:fill="FFFFFF"/>
          <w:vertAlign w:val="superscript"/>
        </w:rPr>
        <w:t>1</w:t>
      </w:r>
      <w:r>
        <w:rPr>
          <w:rFonts w:eastAsia="Times New Roman"/>
          <w:color w:val="000000"/>
          <w:sz w:val="24"/>
          <w:szCs w:val="24"/>
          <w:shd w:val="clear" w:color="auto" w:fill="FFFFFF"/>
        </w:rPr>
        <w:t>punktu.</w:t>
      </w:r>
      <w:r>
        <w:rPr>
          <w:rFonts w:eastAsia="Times New Roman"/>
          <w:color w:val="000000"/>
          <w:sz w:val="24"/>
          <w:szCs w:val="24"/>
          <w:shd w:val="clear" w:color="auto" w:fill="FFFFFF"/>
        </w:rPr>
        <w:br/>
      </w:r>
      <w:r>
        <w:rPr>
          <w:color w:val="000000"/>
        </w:rPr>
        <w:t>Papildus norādām, ka Ministru kabinets ārējo normatīvo aktu var izdot tikai tādā gadījumā, ja likumdevējs likumā formulējis pilnvarojumu šāda akta izdošanai un noteicis pilnvarojuma robežas (</w:t>
      </w:r>
      <w:r>
        <w:rPr>
          <w:rFonts w:ascii="inherit" w:eastAsia="Times New Roman" w:hAnsi="inherit"/>
          <w:i/>
          <w:iCs/>
          <w:color w:val="000000"/>
          <w:sz w:val="24"/>
          <w:szCs w:val="24"/>
        </w:rPr>
        <w:t>skat. Satversmes tiesas 2017. gada 29. jūnija sprieduma lietā Nr. 2016-23-03 16. punktu</w:t>
      </w:r>
      <w:r>
        <w:rPr>
          <w:rFonts w:eastAsia="Times New Roman"/>
          <w:color w:val="000000"/>
          <w:sz w:val="24"/>
          <w:szCs w:val="24"/>
        </w:rPr>
        <w:t>). Turklāt Ministru kabineta noteikumu saturam jāatbilst likumdevēja noteiktajam pilnvarojumam Ministru kabinetam.</w:t>
      </w:r>
      <w:r>
        <w:rPr>
          <w:rFonts w:eastAsia="Times New Roman"/>
          <w:color w:val="000000"/>
          <w:sz w:val="24"/>
          <w:szCs w:val="24"/>
        </w:rPr>
        <w:br/>
      </w:r>
      <w:r>
        <w:rPr>
          <w:color w:val="000000"/>
        </w:rPr>
        <w:t>Tāpat vēršam uzmanību uz to, ka Administratīvā procesa likuma 11. pants paredz, ka 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Pr>
          <w:color w:val="000000"/>
        </w:rPr>
        <w:br/>
        <w:t>Savukārt no likuma 5. panta ceturtajā daļā un Brīvas pakalpojumu sniegšanas likuma 15. panta piektajā daļā noteiktā pilnvarojuma Ministru kabinetam neizriet tiesības noteikt gadījumus, kuros pārtikas uzņēmumu svītro no reģistra un gadījumus, kad anulē pārtikas uzņēmuma atzīšanu vai reģistrāciju.</w:t>
      </w:r>
      <w:r>
        <w:rPr>
          <w:color w:val="000000"/>
        </w:rPr>
        <w:br/>
        <w:t>Kā jau Tieslietu ministrijas sākotnējā iebildumā norādīts, gadījumi, kad pārtikas uzņēmuma atzīšanu un atzīšanas numuru vai reģistrāciju un reģistrācijas numuru </w:t>
      </w:r>
      <w:r>
        <w:rPr>
          <w:b/>
          <w:bCs/>
          <w:color w:val="000000"/>
        </w:rPr>
        <w:t xml:space="preserve">var anulēt, jau ir noteikti likuma 27. panta sestajā daļā. </w:t>
      </w:r>
      <w:r>
        <w:rPr>
          <w:color w:val="000000"/>
        </w:rPr>
        <w:t>Tādējādi pārtikas uzņēmuma atzīšanas vai reģistrācijas anulēšanas gadījumi ir likuma kompetences jautājums, par ko lemj Saeima. Ministru kabinets nav tiesīgas lemt par minēto jautājumu.</w:t>
      </w:r>
      <w:r>
        <w:rPr>
          <w:color w:val="000000"/>
        </w:rPr>
        <w:br/>
      </w:r>
    </w:p>
    <w:p w14:paraId="17E422C6" w14:textId="77777777" w:rsidR="00516F63" w:rsidRDefault="00516F63" w:rsidP="00516F63">
      <w:pPr>
        <w:pStyle w:val="NormalWeb"/>
        <w:jc w:val="both"/>
      </w:pPr>
    </w:p>
    <w:p w14:paraId="2616D6A1" w14:textId="77777777" w:rsidR="00516F63" w:rsidRDefault="00516F63" w:rsidP="00516F63">
      <w:pPr>
        <w:pStyle w:val="NormalWeb"/>
        <w:jc w:val="both"/>
        <w:rPr>
          <w:color w:val="201F1E"/>
        </w:rPr>
      </w:pPr>
      <w:r>
        <w:rPr>
          <w:color w:val="000000"/>
        </w:rPr>
        <w:t>Cieņā</w:t>
      </w:r>
    </w:p>
    <w:p w14:paraId="5534AA04" w14:textId="77777777" w:rsidR="00516F63" w:rsidRDefault="00516F63" w:rsidP="00516F63">
      <w:r>
        <w:rPr>
          <w:rFonts w:eastAsia="Times New Roman"/>
          <w:b/>
          <w:bCs/>
          <w:color w:val="000000"/>
        </w:rPr>
        <w:t>Amanda Mūrniece</w:t>
      </w:r>
      <w:r>
        <w:t xml:space="preserve"> </w:t>
      </w:r>
    </w:p>
    <w:p w14:paraId="606B38E3" w14:textId="77777777" w:rsidR="00516F63" w:rsidRDefault="00516F63" w:rsidP="00516F63">
      <w:pPr>
        <w:rPr>
          <w:rFonts w:eastAsia="Times New Roman"/>
          <w:color w:val="000000"/>
          <w:sz w:val="24"/>
          <w:szCs w:val="24"/>
        </w:rPr>
      </w:pPr>
      <w:r>
        <w:rPr>
          <w:rFonts w:eastAsia="Times New Roman"/>
          <w:color w:val="000000"/>
        </w:rPr>
        <w:t>Tieslietu ministrijas Valststiesību departamenta</w:t>
      </w:r>
    </w:p>
    <w:p w14:paraId="0C7249B7" w14:textId="77777777" w:rsidR="00516F63" w:rsidRDefault="00516F63" w:rsidP="00516F63">
      <w:pPr>
        <w:pStyle w:val="NormalWeb"/>
        <w:shd w:val="clear" w:color="auto" w:fill="FFFFFF"/>
        <w:rPr>
          <w:color w:val="201F1E"/>
        </w:rPr>
      </w:pPr>
      <w:r>
        <w:rPr>
          <w:color w:val="000000"/>
          <w:shd w:val="clear" w:color="auto" w:fill="FFFFFF"/>
        </w:rPr>
        <w:t>Starptautisko publisko tiesību nodaļas juriste</w:t>
      </w:r>
    </w:p>
    <w:p w14:paraId="17829E84" w14:textId="77777777" w:rsidR="00516F63" w:rsidRDefault="00516F63" w:rsidP="00516F63">
      <w:pPr>
        <w:pStyle w:val="NormalWeb"/>
        <w:shd w:val="clear" w:color="auto" w:fill="FFFFFF"/>
        <w:rPr>
          <w:color w:val="201F1E"/>
        </w:rPr>
      </w:pPr>
      <w:r>
        <w:rPr>
          <w:color w:val="000000"/>
          <w:shd w:val="clear" w:color="auto" w:fill="FFFFFF"/>
        </w:rPr>
        <w:t>Tālrunis: 67036942</w:t>
      </w:r>
    </w:p>
    <w:p w14:paraId="0907E7CD" w14:textId="77777777" w:rsidR="00516F63" w:rsidRDefault="00516F63" w:rsidP="00516F63">
      <w:pPr>
        <w:pStyle w:val="NormalWeb"/>
        <w:shd w:val="clear" w:color="auto" w:fill="FFFFFF"/>
        <w:rPr>
          <w:color w:val="201F1E"/>
        </w:rPr>
      </w:pPr>
      <w:r>
        <w:rPr>
          <w:color w:val="000000"/>
        </w:rPr>
        <w:lastRenderedPageBreak/>
        <w:t>E-pasts: </w:t>
      </w:r>
      <w:hyperlink r:id="rId5" w:tgtFrame="_blank" w:history="1">
        <w:r>
          <w:rPr>
            <w:rStyle w:val="Hyperlink"/>
          </w:rPr>
          <w:t>Amanda.Murniece@tm.gov.lv</w:t>
        </w:r>
      </w:hyperlink>
      <w:r>
        <w:rPr>
          <w:color w:val="000000"/>
        </w:rPr>
        <w:t> </w:t>
      </w:r>
    </w:p>
    <w:p w14:paraId="0F545FA5" w14:textId="77777777" w:rsidR="00516F63" w:rsidRDefault="00516F63" w:rsidP="00516F63">
      <w:pPr>
        <w:pStyle w:val="NormalWeb"/>
        <w:shd w:val="clear" w:color="auto" w:fill="FFFFFF"/>
        <w:rPr>
          <w:color w:val="201F1E"/>
        </w:rPr>
      </w:pPr>
    </w:p>
    <w:p w14:paraId="32E5EAF3" w14:textId="77777777" w:rsidR="00516F63" w:rsidRDefault="00516F63" w:rsidP="00516F63">
      <w:pPr>
        <w:rPr>
          <w:rFonts w:eastAsia="Times New Roman"/>
          <w:color w:val="201F1E"/>
          <w:sz w:val="23"/>
          <w:szCs w:val="23"/>
        </w:rPr>
      </w:pPr>
      <w:r>
        <w:rPr>
          <w:rFonts w:eastAsia="Times New Roman"/>
          <w:b/>
          <w:bCs/>
          <w:color w:val="201F1E"/>
          <w:sz w:val="23"/>
          <w:szCs w:val="23"/>
        </w:rPr>
        <w:t>Ilze Māliņa</w:t>
      </w:r>
      <w:r>
        <w:rPr>
          <w:rFonts w:eastAsia="Times New Roman"/>
          <w:color w:val="201F1E"/>
          <w:sz w:val="23"/>
          <w:szCs w:val="23"/>
        </w:rPr>
        <w:t xml:space="preserve"> </w:t>
      </w:r>
    </w:p>
    <w:p w14:paraId="397333FC" w14:textId="77777777" w:rsidR="00516F63" w:rsidRDefault="00516F63" w:rsidP="00516F63">
      <w:pPr>
        <w:rPr>
          <w:rFonts w:eastAsia="Times New Roman"/>
          <w:color w:val="201F1E"/>
          <w:sz w:val="23"/>
          <w:szCs w:val="23"/>
        </w:rPr>
      </w:pPr>
      <w:r>
        <w:rPr>
          <w:rFonts w:eastAsia="Times New Roman"/>
          <w:color w:val="201F1E"/>
          <w:sz w:val="23"/>
          <w:szCs w:val="23"/>
        </w:rPr>
        <w:t>Tieslietu ministrijas Valststiesību departamenta</w:t>
      </w:r>
    </w:p>
    <w:p w14:paraId="139E1DDF" w14:textId="77777777" w:rsidR="00516F63" w:rsidRDefault="00516F63" w:rsidP="00516F63">
      <w:pPr>
        <w:rPr>
          <w:rFonts w:eastAsia="Times New Roman"/>
          <w:color w:val="201F1E"/>
          <w:sz w:val="23"/>
          <w:szCs w:val="23"/>
        </w:rPr>
      </w:pPr>
      <w:r>
        <w:rPr>
          <w:rFonts w:eastAsia="Times New Roman"/>
          <w:color w:val="201F1E"/>
          <w:sz w:val="23"/>
          <w:szCs w:val="23"/>
        </w:rPr>
        <w:t>Administratīvo tiesību nodaļas juriste</w:t>
      </w:r>
    </w:p>
    <w:p w14:paraId="33ECA6E4" w14:textId="77777777" w:rsidR="00516F63" w:rsidRDefault="00516F63" w:rsidP="00516F63">
      <w:pPr>
        <w:rPr>
          <w:rFonts w:eastAsia="Times New Roman"/>
          <w:color w:val="201F1E"/>
          <w:sz w:val="23"/>
          <w:szCs w:val="23"/>
        </w:rPr>
      </w:pPr>
      <w:r>
        <w:rPr>
          <w:rFonts w:eastAsia="Times New Roman"/>
          <w:color w:val="201F1E"/>
          <w:sz w:val="23"/>
          <w:szCs w:val="23"/>
        </w:rPr>
        <w:t>Tālrunis: 67036910</w:t>
      </w:r>
    </w:p>
    <w:p w14:paraId="18CB391F" w14:textId="77777777" w:rsidR="00516F63" w:rsidRDefault="00516F63" w:rsidP="00516F63">
      <w:pPr>
        <w:rPr>
          <w:rFonts w:eastAsia="Times New Roman"/>
          <w:color w:val="201F1E"/>
          <w:sz w:val="23"/>
          <w:szCs w:val="23"/>
        </w:rPr>
      </w:pPr>
      <w:r>
        <w:rPr>
          <w:rFonts w:eastAsia="Times New Roman"/>
          <w:color w:val="201F1E"/>
          <w:sz w:val="23"/>
          <w:szCs w:val="23"/>
        </w:rPr>
        <w:t xml:space="preserve">E-pasts: </w:t>
      </w:r>
      <w:hyperlink r:id="rId6" w:history="1">
        <w:r>
          <w:rPr>
            <w:rStyle w:val="Hyperlink"/>
            <w:rFonts w:eastAsia="Times New Roman"/>
            <w:sz w:val="23"/>
            <w:szCs w:val="23"/>
          </w:rPr>
          <w:t>Ilze.Malina@tm.gov.lv</w:t>
        </w:r>
      </w:hyperlink>
      <w:r>
        <w:rPr>
          <w:rFonts w:eastAsia="Times New Roman"/>
          <w:color w:val="201F1E"/>
          <w:sz w:val="23"/>
          <w:szCs w:val="23"/>
        </w:rPr>
        <w:t xml:space="preserve">    </w:t>
      </w:r>
    </w:p>
    <w:p w14:paraId="76947B5C" w14:textId="77777777" w:rsidR="00793DF0" w:rsidRDefault="00793DF0"/>
    <w:sectPr w:rsidR="00793D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54A67"/>
    <w:multiLevelType w:val="multilevel"/>
    <w:tmpl w:val="05E20E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8DC"/>
    <w:rsid w:val="004C68DC"/>
    <w:rsid w:val="00516F63"/>
    <w:rsid w:val="00793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E0D4C"/>
  <w15:chartTrackingRefBased/>
  <w15:docId w15:val="{4B01A4D2-3311-41E3-A644-F6EEFD40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F63"/>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6F63"/>
    <w:rPr>
      <w:color w:val="0000FF"/>
      <w:u w:val="single"/>
    </w:rPr>
  </w:style>
  <w:style w:type="paragraph" w:styleId="NormalWeb">
    <w:name w:val="Normal (Web)"/>
    <w:basedOn w:val="Normal"/>
    <w:uiPriority w:val="99"/>
    <w:semiHidden/>
    <w:unhideWhenUsed/>
    <w:rsid w:val="00516F63"/>
  </w:style>
  <w:style w:type="character" w:customStyle="1" w:styleId="apple-converted-space">
    <w:name w:val="apple-converted-space"/>
    <w:basedOn w:val="DefaultParagraphFont"/>
    <w:rsid w:val="00516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5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lze.Malina@tm.gov.lv" TargetMode="External"/><Relationship Id="rId5" Type="http://schemas.openxmlformats.org/officeDocument/2006/relationships/hyperlink" Target="mailto:Amanda.Murniece@t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3733</Words>
  <Characters>2129</Characters>
  <Application>Microsoft Office Word</Application>
  <DocSecurity>0</DocSecurity>
  <Lines>17</Lines>
  <Paragraphs>11</Paragraphs>
  <ScaleCrop>false</ScaleCrop>
  <Company>Zemkopības Ministrija</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Bugina</dc:creator>
  <cp:keywords/>
  <dc:description/>
  <cp:lastModifiedBy>Liene Bugina</cp:lastModifiedBy>
  <cp:revision>2</cp:revision>
  <dcterms:created xsi:type="dcterms:W3CDTF">2022-03-29T13:37:00Z</dcterms:created>
  <dcterms:modified xsi:type="dcterms:W3CDTF">2022-03-29T13:38:00Z</dcterms:modified>
</cp:coreProperties>
</file>