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24-TA-3293: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15. augusta noteikumos Nr. 462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un piektās kārtas un 4.1.1.5. pasākuma "Neatliekamās medicīniskās palīdzības dienesta attīstība"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(05.04.2024.)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Eiropas Savienības fondu 2021.–2027. gada plānošanas perioda vadības likuma 19. panta 6. un 13.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virzīt noteikumu projektu uz Ministru kabinetu apstiprināšanai tikai tad, kad jautājums, par Veselības ministrijas ierosinātajām finansējuma pārdalēm, ir izskatīts, un saskaņots Eiropas Savienības fondu tematiskajā komitejā.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Veselības ministrijas ierosinātajām finansējuma pārdalēm tiks izskatīts un saskaņots 2025.gada gada 20.janvāra Valdību veidojošo partiju Sadarbības sanāksmē vai Eiropas Savienības fondu tematiskajā komitejā (plānotais datums 22.01.2025.). MK noteikumu grozījumi izskatīšanai uz MK sēdi tiks virzīti tikai pēc tam, kad tiks panākta vienošanās.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2023. gada 15. augusta noteikumos Nr. 462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un piektās kārtas un 4.1.1.5. pasākuma "Neatliekamās medicīniskās palīdzības dienesta attīstība" īstenošanas noteikumi" (Latvijas Vēstnesis, 2023, 163. nr.; 2024, 66.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salāgot noteikumu projekta 3.punktā norādīto 4.1.1.1. pasākuma sestās kārtas ietvaros plānoto Eiropas Reģionālās attīstības fonda finansējumu 70 799 482 euro apmērā un nacionālo finansējumu 12 494 027 euro apmērā ar noteikumu projekta pielikuma 3.punktā un anotācijas 3.sadaļā norādīto finansējumu. Attiecīgi precizējams noteikumu projekta pielikumā norādītais 4.1.1.1. pasākuma pirmās,  piektās un sestās kārtas un 4.1.1.5. pasākumam kopējais  plānotais Eiropas Reģionālās attīstības fonda un nacionālā finansējuma apmērs.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 TAP anotācijas 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 un 8. punkts paredz informācijas sniegšanas pienākumus, līdz ar ko, lūdzu izvērtēt, vai minētie pienākumi ir attiecināmi uz Ministru kabineta 2023. gada 15. augusta noteikumos Nr. 462 "</w:t>
            </w:r>
            <w:r w:rsidR="00000000" w:rsidRPr="00000000" w:rsidDel="00000000">
              <w:rPr>
                <w:i w:val="1"/>
                <w:rtl w:val="0"/>
              </w:rPr>
              <w:t xml:space="preserve">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un piektās kārtas un 4.1.1.5. pasākuma "Neatliekamās medicīniskās palīdzības dienesta attīstība" īstenošanas noteikumi</w:t>
            </w:r>
            <w:r w:rsidR="00000000" w:rsidRPr="00000000" w:rsidDel="00000000">
              <w:rPr>
                <w:rtl w:val="0"/>
              </w:rPr>
              <w:t xml:space="preserve">" noteiktajām attiecināmajām izmaksām. Ja minētie informācijas sniegšanas pienākumi nav attiecināmi uz noteikumos noteiktajām attiecināmajām izmaksām, lūdzu veikt administratīvo izmaksu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projektiem administratīvo izmaksu vērtējums un monetārs novērtējums ir veicams saskaņā ar Ministru kabineta 2021. gada 7. septembra noteikumu Nr. 617 “Tiesību akta projekta sākotnējās ietekmes izvērtēšanas kārtība” (turpmāk - noteikumi Nr. 617) 16.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monetārs novērtējums par juridiskām personām ir aizpildāms anotācijas 2. sadaļas 2.3. apakšpunktā un par valsts vai pašvaldību institūcijām 7. sadaļas 7.2.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un atbilstības izmaksu monetārā novērtējuma veikšanā pieejama Vadlīnijās tiesību akta sākotnējās ietekmes novērtēšanai un novērtējuma ziņojuma sagatavošanai vienotajā TAP portālā (pieejamas Ministru kabineta tīmkeļvietnē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7.2 sadaļa ar aprēķinu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2023. gada 15. augusta noteikumos Nr. 462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un piektās kārtas un 4.1.1.5. pasākuma "Neatliekamās medicīniskās palīdzības dienesta attīstība"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punktu, kas nosaka, ka atbildīgā iestāde pēc Eiropas Komisijas lēmuma par vidusposma pārskatu var ierosināt palielināt pasākumam pieejamo kopējo attiecināmo finansējumu līdz šo noteikumu 12.</w:t>
            </w:r>
            <w:r w:rsidR="00000000" w:rsidRPr="00000000" w:rsidDel="00000000">
              <w:rPr>
                <w:vertAlign w:val="superscript"/>
                <w:rtl w:val="0"/>
              </w:rPr>
              <w:t xml:space="preserve">2</w:t>
            </w:r>
            <w:r w:rsidR="00000000" w:rsidRPr="00000000" w:rsidDel="00000000">
              <w:rPr>
                <w:rtl w:val="0"/>
              </w:rPr>
              <w:t xml:space="preserve"> punktā minētajam plānotajam maksimālajam apmēram, vai, ja saņemts saskaņojums Eiropas Savienības fondu tematiskajā komitejā, aicinām papildināt MK sēdes protokollēmuma projektu ar jauniem punktiem, kuri: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ļautu Centrālajai finanšu un līgumu aģentūrai slēgt līgumus ar finansējuma saņēmējiem, par projektu īstenošanu pirms ir saņemts pozitīvs Eiropas Komisijas lēmums grozījumiem Eiropas Savienības kohēzijas politikas programmā 2021.–2027. gadam, t.sk. par elastības finansējuma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noteiktu uzdevumu Veselības ministrijai informēt Ministru kabinetu, par priekšlikumiem rīcībai gadījumā, ja netiek saņemts pozitīvs Eiropas Komisijas lēmums par grozījumiem Eiropas Savienības kohēzijas politikas programmā 2021.–2027. gadam, sniedzot anotācijā attiecīgu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protokollēmums.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2023. gada 15. augusta noteikumos Nr. 462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un piektās kārtas un 4.1.1.5. pasākuma "Neatliekamās medicīniskās palīdzības dienesta attīstība"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15. augusta noteikumos Nr. 462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un piektās kārtas un 4.1.1.5. pasākuma "Neatliekamās medicīniskās palīdzības dienesta attīstība"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virzīt noteikumu projektu uz Ministru kabinetu apstiprināšanai tikai tad, kad jautājums, par Veselības ministrijas ierosinātajām finansējuma pārdalēm, ir izskatīts, un saskaņots Eiropas Savienības fondu tematiskajā komitejā vai Valdību veidojošo partiju Sadarbības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tiks virzīts tikai pēc tam, kad jautājums, par Veselības ministrijas ierosinātajām finansējuma pārdalēm, ir izskatīts, un saskaņots Eiropas Savienības fondu tematiskajā komitejā vai Valdību veidojošo partiju Sadarbības sanāksmē 20.01.2022..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15. augusta noteikumos Nr. 462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un piektās kārtas un 4.1.1.5. pasākuma "Neatliekamās medicīniskās palīdzības dienesta attīstība"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un pamatojumu, kāpēc MK sēdes protokollēmumā tiek noteikti uzdevumi Veselības ministrijai un Centrālajai finanšu un līgumu aģentūrai slēgt līgumus ar finansējuma saņēmējiem pirms ir saņemts pozitīvs Eiropas Komisijas lēmums par grozījumiem Eiropas Savienības kohēzijas politikas programmā 2021.–2027. gadam, t.sk. par elastības finansējuma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sadaļā "Pašreizējā situācija, problēmas un risinājumi" ietverto rindkopu: "2025. gada 20. janvārī notiks Valdību veidojošo partiju Sadarbības sanāksme, pēc kuras Veselības ministrijai sadarbībā ar Centrālo finanšu un līgumu aģentūru nodrošinās līgumu slēgšanu ar finansējuma saņēmējiem, par projektu īstenošanu pirms ir saņemts pozitīvs Eiropas Komisijas lēmums grozījumiem Eiropas Savienības kohēzijas politikas programmā 2021.–2027. gadam, t.sk. par elastības finansējuma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Veselības ministrija sadarbībā ar Centrālo finanšu un līgumu aģentūru varēs slēgt līgumus ar finansējuma saņēmējiem, ja tāds lēmums tiks pieņemts Ministru kabinetā, nevis noteikumu projekta izskatīšanas Valdību veidojošo partiju Sadarbības sanāksmē.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20. janvārī notiks Valdību veidojošo partiju Sadarbības sanāksme, pēc kuras sagatavotais noteikumu projekts tiks virzīts uz Ministru kabineta sēdi. Veselības ministrija sadarbībā ar Centrālo finanšu un līgumu aģentūru varēs slēgt līgumus ar finansējuma saņēmējiem, ja tāds lēmums tiks pieņemts Ministru kabinetā.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un noteikumu projekta pielikumu ar informāciju par plānoto elastības finansējumu sadalījumā pa 4.1.1.1.pasākuma "Ārstniecības iestāžu infrastruktūras attīstība" 6.kārtā plānotajiem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pielikums, norādot kopējo plānoto elastības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papildu informāciju attiecībā uz VSIA “Paula Stradiņa klīniskā universitātes slimnīca” A2 projektam papildu plānoto finansējumu. Vēršam uzmanību, ka atbilstoši Ministru kabineta 2023. gada 15. augusta noteikumu Nr. 462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un piektās kārtas un 4.1.1.5. pasākuma "Neatliekamās medicīniskās palīdzības dienesta attīstība" īstenošanas noteikumi" 50.3. apakšpunktam sadārdzinājumu sedz finansējuma saņēmējs no saviem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Papildu plānotais finansējums, kas nepieciešams A2 ēkas funkcionalitātes nodrošināšanai un ēkas nodošanai ekspluatācijā, nav sadārdzinājums. Ņemot vērā, ka ir pagājis krietns laiks kopš projekta uzsākšanas, ir nepieciešams veikt projektā dažādas tehnoloģisko risinājumu un funkcionalitātes izmaiņas, piemēram, uzlabot ventilēšanas sistēmas, ieviešot inženierkomunikāciju uzlabojumus un citus atbilstošus būvniecības darbus, kas nepieciešams ēkas nodošanai ekspluatācijā.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4.1.1.1. pasākuma "Ārstniecības iestāžu infrastruktūras attīstība" 6. kārtas intervences kategorijām.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anotāciju ar informāciju, par grozījumu ietekmi uz jau apstiprinātajiem projektiem 4.1.1.1.pasākuma "Ārstniecības iestāžu infrastruktūras attīstība" 1. un 5. kārtas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skaidrot, vai 4.1.1.1.pasākuma 6. kārtai  plānota projektu iesniegumu atlase, un vai Veselības ministrija plāno izstrādāt jaunus projektu iesniegumu atlases kritērijus, vai grozīt piem. 4.1.1.1.pasākuma 1.kārtas projektu iesniegumu atlases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6. kārtas atlasei tiks izstrādāti 6. kārtas projektu iesniegumu atlases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pēc nepieciešamības papildināt noteikumu anotācijas projektu, skaidrojot kādas izmaksas ir attiecināmas PSKUS A2 projekta funkcionalitātes nodrošināšanai un nodošanai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 lai īstenotu A2 attīstību, kurā tiek nodrošināti valsts apmaksāti veselības aprūpes pakalpojumi, pasākuma ietvaros ir attecināmas izmaksas, ja tās atbilst šo noteikumu atbalstāmajām darbībām - projekta vadības nodrošināšana; būvniecība; tehnoloģiju iegāde, piegāde un montāža; komunikācijas un vizuālās identitātes prasību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par pārkompensācijas kontroli - kā atbalsta sniedzējs pārbaudīs noteikumu projekta 17. punktā noteikto pienākumu finansējuma saņēmējam iesniegt pilnvarojuma uzlicēja apliecinājumu, kam jābūt norādītam pilnvarojuma aktā un kā praksē jānodrošina pārkompensācijas kontrole,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Pārkompensācijas uzraudzību veic pilnvarojuma uzlicējs un, lai pilnvarojuma uzlicējs varētu kvalitatīvi novērst pārkompensācijas riskus un izpildīt pienākumu par pārkompensācijas uzraudzību, pilnvarojuma aktā ir iekļauts nosacījums, ka pilnvarojuma uzlicējs veic regulāras pārbaudes vai nodrošina, ka tās tiek veiktas, vismaz ik pēc trīs gadiem sabiedrisko pakalpojumu līguma darbības laikā un tā beigās, pamatojoties uz normatīvajiem aktiem, kas nosaka atlīdzības maksājumu/kompensāciju aprēķināšanas un piešķiršanas kārtību, kritērijus un nosacījumus, kā arī pārkompensācijas kontroles kārtību. Minētais pārkompensācijas uzraudzības mehānisms tiek izvērtēts projekta iesnieguma vērtēšanas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2.1. sadaļas "Sabiedrības grupas, kuras tiesiskais regulējums ietekmē, vai varētu ietekmēt" apakšsadaļu "Juridiskās personas" ar Veselības ministriju kā atbildīgo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2.1.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tiks virzīts izskatīšanai Ministru kabineta sēdē 2025.gadā, nepieciešams anotācijas 3.sadaļas “Tiesību akta projekta ietekme uz valsts budžetu un pašvaldību budžetiem” tabulas ailēs precizēt norādītos gadus.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 ņemot vērā, ka pirmreizējais noteikumu grozījumu projekts tika iesniegts 2024. gadā, fiziski nebija iespējams izņemt 2024. gadu (līdz ar to tur tāpat viss bija pa 0). Šobrīd  anotācijas 3. sadaļā vairs neparādās 2024. gads.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Pasākuma mērķis un plānotie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noteikumu projekts nebūtu jāpapildina ar sestās kārtas sasniedzamajiem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- 6. kārtas ietvaros atsevišķi tieši uz 6. kārtu SAM rezultāta rādītājs netiek noteikts, bet SAM iznākuma rādītājs ir attiecināms un tiks sasniegts, kad tiks noslēgts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6. kārtu ir attiecināmi šie MK noteikumos minētie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Specifiskā atbalsta mērķa iznākuma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noslēgto līgumu īpatsvars par ieguldījumiem veselības aprūpes infrastruktūras objektos, specifiskā atbalsta mērķa ietvaros nodrošinot, ka līdz 2029. gada 31. decembrim noslēgti līgumi vai vienošanās par projektu īstenošanu 100 procentu apmērā no specifiskā atbalsta mērķim pieejamā kopējā attiecināmā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6. kārtas finansējuma saņēmējam nav jāuzkrāj un jāiesniedz dati par šo rādītāju, jo rādītājs būs sasniegts tiklīdz tiks noslēgts līgums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Specifiskā atbalsta mērķa rezultāta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personu skaits gadā, kuras izmanto jaunu vai modernizētu veselības aprūpes iestāžu pakalpojumus, nodrošinot, ka līdz 2029. gada 31. decembrim specifiskā atbalsta mērķa ietvaros jaunu vai modernizētu veselības aprūpes iestāžu pakalpojumus izmanto 3 878 460 personas gadā, tai skaitā 4.1.1.1. pasākuma pirmās kārtas ietvaros – 2 109 778 personas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4.1.1.1. pasākuma 6. kārtas finansējuma saņēmējs ir finansējuma saņēmējs arī 4.1.1.1. pasākuma 1. kārtas ietvaros, finansējuma saņēmējam 6.kārtas ietvaros nav jāuzkrāj un iesniedz datus par lietotāju skaitu, kas gada laikā, pēc atbalstāmo darbību pabeigšanas, vismaz vienu reizi ir izmantojuši jaunos vai modernizētos pakalpojumu. Datus par rādītāja sasniegšanu finansējuma saņēmējs uzkrās un iesniegs 1. kārtas ietvaros. Līdz ar to, 6. kārtas ietvaros atsevišķi tieši uz 6. kārtu SAM rezultāta rādītājs netiek noteikts, bet SAM iznākuma rādītājs ir attiecināms un tiks sasniegts, kad tiks noslēgts līgums.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Pasākuma mērķis un plānotie rādītāji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Veikto investīciju atbilstības uzraudzību atbilstoši šo noteikumu </w:t>
            </w:r>
            <w:r w:rsidR="00000000" w:rsidRPr="00000000" w:rsidDel="00000000">
              <w:rPr>
                <w:rtl w:val="0"/>
              </w:rPr>
              <w:t xml:space="preserve">23.</w:t>
            </w:r>
            <w:r w:rsidR="00000000" w:rsidRPr="00000000" w:rsidDel="00000000">
              <w:rPr>
                <w:rtl w:val="0"/>
              </w:rPr>
              <w:t xml:space="preserve"> punktā minētajiem nosacījumiem reizi gadā visā projekta dzīves ciklā nodrošina sadarbības iestāde.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lūdzam ieviest papildinošās saimnieciskās darbības pašdeklarācijas / paškontroles principu. Attiecīgus precizējumus lūdzam iekļaut arī MK noteikumu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visā projekta dzīves ciklā katru gadu sagatavo pārskatu par papildinošas saimnieciskās darbības apjomu un nodrošina šajā punktā minēto pārskatu un aprēķinus pamatojošo dokumentu pieejamību papildinošas saimnieciskās darbības uzraudzībai. Ja finansējuma saņēmējs konstatē, ka ir pārsniegts šo noteikumu 23.punktā minētais 20 % ierobežojums no infrastruktūras gada jaudas platības, laika vai finanšu izteiksmē, vai ka veiktās investīcijas tiek izmantotas citai saimnieciskai darbībai, kas nav uzskatāma par papildinošu saimniecisku darbību, tas saskaņā ar civiltiesisko līgumu vai vienošanos par projekta īstenošanu noteiktajā termiņā iesniedz sadarbības iestādē ziņojumu par konstatēto šo noteikumu 23. punktā minēto nosacījumu pārkāpumu. Sadarbības iestādei ir tiesības finansējuma saņēmējam pieprasīt papildinošās saimnieciskās darbības pārskatus projekta dzīves cikla laikā, tai skaitā gadījumos, kad saņemta informācija par papildinošās saimnieciskās darbības nosacījumu pārkāpumu no finansējuma saņēmēja, kompetentajām iestādēm vai no trešajām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punkts ieteiktajā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Finansējuma saņēmējs visā projekta dzīves ciklā katru gadu sagatavo pārskatu par papildinošas saimnieciskās darbības apjomu un nodrošina šajā punktā minēto pārskatu un aprēķinus pamatojošo dokumentu pieejamību papildinošas saimnieciskās darbības uzraudzībai. Ja finansējuma saņēmējs konstatē, ka ir pārsniegts šo noteikumu 23.punktā minētais 20 % ierobežojums no infrastruktūras gada jaudas platības, laika vai finanšu izteiksmē, vai ka veiktās investīcijas tiek izmantotas citai saimnieciskai darbībai, kas nav uzskatāma par papildinošu saimniecisku darbību, tas saskaņā ar civiltiesisko līgumu vai vienošanos par projekta īstenošanu noteiktajā termiņā iesniedz sadarbības iestādē ziņojumu par konstatēto šo noteikumu  </w:t>
            </w:r>
            <w:r w:rsidR="00000000" w:rsidRPr="00000000" w:rsidDel="00000000">
              <w:rPr>
                <w:rtl w:val="0"/>
              </w:rPr>
              <w:t xml:space="preserve">23.</w:t>
            </w:r>
            <w:r w:rsidR="00000000" w:rsidRPr="00000000" w:rsidDel="00000000">
              <w:rPr>
                <w:rtl w:val="0"/>
              </w:rPr>
              <w:t xml:space="preserve"> punktā minēto nosacījumu pārkāpumu. Sadarbības iestādei ir tiesības finansējuma saņēmējam pieprasīt papildinošās saimnieciskās darbības pārskatus projekta dzīves cikla laikā, tai skaitā gadījumos, kad saņemta informācija par papildinošās saimnieciskās darbības nosacījumu pārkāpumu no finansējuma saņēmēja, kompetentajām iestādēm vai no trešajām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Projekta iesniedzējs nevar pretendēt uz atbalsta saņemšanu, ja tas atbilst grūtībās nonākuša komersanta statusam saskaņā ar Komisijas 2014. gada 17. jūnija Regulas Nr. 651/2014, ar ko noteiktas atbalsta kategorijas atzīst par saderīgām ar iekšējo tirgu, piemērojot Līguma 107. un 108. pantu, 2. panta 18.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Komisijas 2014. gada 17. jūnija Regulas Nr. 651/2014, </w:t>
            </w:r>
            <w:r w:rsidR="00000000" w:rsidRPr="00000000" w:rsidDel="00000000">
              <w:rPr>
                <w:i w:val="1"/>
                <w:rtl w:val="0"/>
              </w:rPr>
              <w:t xml:space="preserve">ar ko noteiktas atbalsta kategorijas atzīst par saderīgām ar iekšējo tirgu, piemērojot Līguma 107. un 108. pantu</w:t>
            </w:r>
            <w:r w:rsidR="00000000" w:rsidRPr="00000000" w:rsidDel="00000000">
              <w:rPr>
                <w:rtl w:val="0"/>
              </w:rPr>
              <w:t xml:space="preserve"> (turpmāk - Komisijas Regula Nr. 651/2014) 2. panta 18. punkta nosacījumi ir jāvērtē/jāpiemēro uzņēmuma grupas līmenī (Komisijas Regulas Nr. 651/2014 angliskajā versijā nosacījumi, kas ir attiecināmi uz "undertaking", ir jāpārbauda/jāpiemēro uzņēmuma grupas līmenī). Attiecīgi lūdzam papildināt noteikumu projekta 27. punktu ar nosacījumu, ka projekta iesniedzējs tiks vērtēts grupas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27.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Projekta iesniedzējs tiks vērtēts grupas līmenī un tas nevar pretendēt uz atbalsta saņemšanu, ja tas atbilst grūtībās nonākuša komersanta statusam saskaņā ar Komisijas 2014. gada 17. jūnija Regulas Nr. 651/2014, ar ko noteiktas atbalsta kategorijas atzīst par saderīgām ar iekšējo tirgu, piemērojot Līguma 107. un 108. pantu, 2. panta 18.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Projekta iesniedzējs sagatavo projekta iesniegumu atbilstoši projektu iesniegumu atlases nolikumā noteiktajām prasībām un iesniedz to sadarbības iestādē, izmantojot Kohēzijas politikas fondu vadības informācijas sistēmu, tai skaitā ar parakstu apliecina projekta iesniedzēja un sadarbības partnera (ja attiecināms) interešu konflikta neesību atbilstoši Eiropas Parlamenta un Padomes 2018. gada 18. jūlija regulas Nr.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w:t>
            </w:r>
            <w:r w:rsidR="00000000" w:rsidRPr="00000000" w:rsidDel="00000000">
              <w:rPr>
                <w:rtl w:val="0"/>
              </w:rPr>
              <w:t xml:space="preserve">1296/2013</w:t>
            </w:r>
            <w:r w:rsidR="00000000" w:rsidRPr="00000000" w:rsidDel="00000000">
              <w:rPr>
                <w:rtl w:val="0"/>
              </w:rPr>
              <w:t xml:space="preserve">, (ES) Nr.  </w:t>
            </w:r>
            <w:r w:rsidR="00000000" w:rsidRPr="00000000" w:rsidDel="00000000">
              <w:rPr>
                <w:rtl w:val="0"/>
              </w:rPr>
              <w:t xml:space="preserve">1301/2013</w:t>
            </w:r>
            <w:r w:rsidR="00000000" w:rsidRPr="00000000" w:rsidDel="00000000">
              <w:rPr>
                <w:rtl w:val="0"/>
              </w:rPr>
              <w:t xml:space="preserve">, (ES) Nr.  </w:t>
            </w:r>
            <w:r w:rsidR="00000000" w:rsidRPr="00000000" w:rsidDel="00000000">
              <w:rPr>
                <w:rtl w:val="0"/>
              </w:rPr>
              <w:t xml:space="preserve">1303/2013</w:t>
            </w:r>
            <w:r w:rsidR="00000000" w:rsidRPr="00000000" w:rsidDel="00000000">
              <w:rPr>
                <w:rtl w:val="0"/>
              </w:rPr>
              <w:t xml:space="preserve">, (ES) Nr.  </w:t>
            </w:r>
            <w:r w:rsidR="00000000" w:rsidRPr="00000000" w:rsidDel="00000000">
              <w:rPr>
                <w:rtl w:val="0"/>
              </w:rPr>
              <w:t xml:space="preserve">1304/2013</w:t>
            </w:r>
            <w:r w:rsidR="00000000" w:rsidRPr="00000000" w:rsidDel="00000000">
              <w:rPr>
                <w:rtl w:val="0"/>
              </w:rPr>
              <w:t xml:space="preserve">, (ES) Nr.  </w:t>
            </w:r>
            <w:r w:rsidR="00000000" w:rsidRPr="00000000" w:rsidDel="00000000">
              <w:rPr>
                <w:rtl w:val="0"/>
              </w:rPr>
              <w:t xml:space="preserve">1309/2013</w:t>
            </w:r>
            <w:r w:rsidR="00000000" w:rsidRPr="00000000" w:rsidDel="00000000">
              <w:rPr>
                <w:rtl w:val="0"/>
              </w:rPr>
              <w:t xml:space="preserve">, (ES) Nr.  </w:t>
            </w:r>
            <w:r w:rsidR="00000000" w:rsidRPr="00000000" w:rsidDel="00000000">
              <w:rPr>
                <w:rtl w:val="0"/>
              </w:rPr>
              <w:t xml:space="preserve">1316/2013</w:t>
            </w:r>
            <w:r w:rsidR="00000000" w:rsidRPr="00000000" w:rsidDel="00000000">
              <w:rPr>
                <w:rtl w:val="0"/>
              </w:rPr>
              <w:t xml:space="preserve">, (ES) Nr.  </w:t>
            </w:r>
            <w:r w:rsidR="00000000" w:rsidRPr="00000000" w:rsidDel="00000000">
              <w:rPr>
                <w:rtl w:val="0"/>
              </w:rPr>
              <w:t xml:space="preserve">223/2014</w:t>
            </w:r>
            <w:r w:rsidR="00000000" w:rsidRPr="00000000" w:rsidDel="00000000">
              <w:rPr>
                <w:rtl w:val="0"/>
              </w:rPr>
              <w:t xml:space="preserve">, (ES) Nr.  </w:t>
            </w:r>
            <w:r w:rsidR="00000000" w:rsidRPr="00000000" w:rsidDel="00000000">
              <w:rPr>
                <w:rtl w:val="0"/>
              </w:rPr>
              <w:t xml:space="preserve">283/2014</w:t>
            </w:r>
            <w:r w:rsidR="00000000" w:rsidRPr="00000000" w:rsidDel="00000000">
              <w:rPr>
                <w:rtl w:val="0"/>
              </w:rPr>
              <w:t xml:space="preserve"> un Lēmumu Nr. 541/2014/ES un atceļ Regulu (ES, Euratom) Nr.  </w:t>
            </w:r>
            <w:r w:rsidR="00000000" w:rsidRPr="00000000" w:rsidDel="00000000">
              <w:rPr>
                <w:rtl w:val="0"/>
              </w:rPr>
              <w:t xml:space="preserve">966/2012</w:t>
            </w:r>
            <w:r w:rsidR="00000000" w:rsidRPr="00000000" w:rsidDel="00000000">
              <w:rPr>
                <w:rtl w:val="0"/>
              </w:rPr>
              <w:t xml:space="preserve">, 61. pantam.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2024. gada 30. septembrī stājusies spēkā jaunā “Finanšu regula” – Eiropas Parlamenta un Padomes 2024. gada 23. septembra Regula (ES, Euratom) 2024/2509 par finanšu noteikumiem, ko piemēro Savienības vispārējam budžetam (pārstrādāta redakcija) (turpmāk - Regula 2024/2509), un saskaņā ar Regulas 2024/2509 279. pantu tā atceļ iepriekšējo “Finanšu regulu” –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Attiecīgi lūdzam noteikumu projekta 30. punktā precizēt regulas atsauci, norādot atsauci uz Regulu 2024/2509.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noteukumu 30.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Projekta iesniedzējs sagatavo projekta iesniegumu atbilstoši projektu iesniegumu atlases nolikumā noteiktajām prasībām un iesniedz to sadarbības iestādē, izmantojot Kohēzijas politikas fondu vadības informācijas sistēmu, tai skaitā ar parakstu apliecina projekta iesniedzēja un sadarbības partnera (ja attiecināms) interešu konflikta neesību atbilstoši Eiropas Parlamenta un Padomes 2024. gada 23. septembra Regula (ES, Euratom) 2024/2509 par finanšu noteikumiem, ko piemēro Savienības vispārējam budžetam (pārstrādāta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Sadarbības iestāde pasākuma sestās kārtas projektu iesniegumu atlases ietvaros organizē ierobežotas projektu iesniegumu atlases, uzaicinot tajās piedalīties šo noteikumu </w:t>
            </w:r>
            <w:r w:rsidR="00000000" w:rsidRPr="00000000" w:rsidDel="00000000">
              <w:rPr>
                <w:rtl w:val="0"/>
              </w:rPr>
              <w:t xml:space="preserve">​</w:t>
            </w:r>
            <w:r w:rsidR="00000000" w:rsidRPr="00000000" w:rsidDel="00000000">
              <w:rPr>
                <w:rtl w:val="0"/>
              </w:rPr>
              <w:t xml:space="preserve">pielikumu</w:t>
            </w:r>
            <w:r w:rsidR="00000000" w:rsidRPr="00000000" w:rsidDel="00000000">
              <w:rPr>
                <w:rtl w:val="0"/>
              </w:rPr>
              <w:t xml:space="preserve">  minētos sestās kārtas projektu iesniegumu atlases iesniedzējus, saskaņojot atlases uzsākšanu ar atbildīgo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32.</w:t>
            </w:r>
            <w:r w:rsidR="00000000" w:rsidRPr="00000000" w:rsidDel="00000000">
              <w:rPr>
                <w:vertAlign w:val="superscript"/>
                <w:rtl w:val="0"/>
              </w:rPr>
              <w:t xml:space="preserve">1</w:t>
            </w:r>
            <w:r w:rsidR="00000000" w:rsidRPr="00000000" w:rsidDel="00000000">
              <w:rPr>
                <w:rtl w:val="0"/>
              </w:rPr>
              <w:t xml:space="preserve"> punktā lietot terminu "projektu iesniedzēji", nevis "projektu iesniegumu atlases iesniedzēji", nodrošinot atbilstību Eiropas Savienības fondu 2021.–2027. gada plānošanas perioda vadības likuma terminoloģijai. Kā arī lūdzam izvērtēt nepieciešamību atsaukties uz konkrētiem noteikumu projekta pielikuma punktiem, kur norādīti sestās atlases kārtas projektu  iesniedzēji.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noteikumu 32.</w:t>
            </w:r>
            <w:r w:rsidR="00000000" w:rsidRPr="00000000" w:rsidDel="00000000">
              <w:rPr>
                <w:vertAlign w:val="superscript"/>
                <w:rtl w:val="0"/>
              </w:rPr>
              <w:t xml:space="preserve">1</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Sadarbības iestāde pasākuma sestās kārtas projektu iesniegumu atlases ietvaros organizē ierobežotas projektu iesniegumu atlases, uzaicinot tajās piedalīties šo noteikumu </w:t>
            </w:r>
            <w:r w:rsidR="00000000" w:rsidRPr="00000000" w:rsidDel="00000000">
              <w:rPr>
                <w:rtl w:val="0"/>
              </w:rPr>
              <w:t xml:space="preserve">​</w:t>
            </w:r>
            <w:r w:rsidR="00000000" w:rsidRPr="00000000" w:rsidDel="00000000">
              <w:rPr>
                <w:rtl w:val="0"/>
              </w:rPr>
              <w:t xml:space="preserve">pielikumu</w:t>
            </w:r>
            <w:r w:rsidR="00000000" w:rsidRPr="00000000" w:rsidDel="00000000">
              <w:rPr>
                <w:rtl w:val="0"/>
              </w:rPr>
              <w:t xml:space="preserve">  minētos sestās kārtas projektu iesniedzējus, saskaņojot atlases uzsākšanu ar atbildīgo iestādi.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50.3. ja projekta izmaksas pieaug, projekta sadārdzinājumu sedz no saviem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50.3. apakšpunktu tā, lai uz projekta īstenošanas gaitā radušās sadārdzinājuma izmaksām, ko finansējuma saņēmējs sedz no saviem līdzekļiem, nodrošinātu piemērojamā komercdarbības atbalsta regulējuma normu ievērošanu. Skaidrojam, ka, ja atbalsts tiek piešķirts kā komercdarbības atbalsts, piemērojot Komisijas 2011. gada 20. decembra lēmumu Nr. 2012/21/ES</w:t>
            </w:r>
            <w:r w:rsidR="00000000" w:rsidRPr="00000000" w:rsidDel="00000000">
              <w:rPr>
                <w:i w:val="1"/>
                <w:rtl w:val="0"/>
              </w:rPr>
              <w:t xml:space="preserve"> par Līguma par Eiropas Savienības darbību 106. panta 2. punkta piemērošanu valsts atbalstam attiecībā uz kompensāciju par sabiedriskajiem pakalpojumiem dažiem uzņēmumiem, kuriem uzticēts sniegt pakalpojumus ar vispārēju tautsaimniecisku nozīmi</w:t>
            </w:r>
            <w:r w:rsidR="00000000" w:rsidRPr="00000000" w:rsidDel="00000000">
              <w:rPr>
                <w:rtl w:val="0"/>
              </w:rPr>
              <w:t xml:space="preserve">, tad gadījumā, ja sadārdzinājums tiek segts no līdzekļiem, kas ir publiskie līdzekļi, arī uz sadārdzinājumu jāattiecina piemērojamā komercdarbības atbalsta regulējuma nosacījumi. Savukārt, ja "savi līdzekļi" ir ieņēmumi no saimnieciskās darbības vai citi privātie resursi, tad komercdarbības atbalsta regulējums jāpiemēro nebūtu. Ņemot vērā to, ka no noteikumu projekta nav skaidrs, ko ietver jēdziens "savi līdzekļi", aicinām papildināt punktu ar tekstu: "nodrošinot piemērojamo komercdarbības atbalsta regulējuma normu ievērošanu".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apakšpunkts. Papildu skaidrojam - A2 projekta ietvarā tas nav sadārdzinājums, bet gan izmaksas, kas radušās tehnoloģisko risinājumu un funkcionalitātes izmaiņu rezultātā. Tāpat norādām, ka jebkāda veida sadārdzinājumu nav plānots segt no publiskajiem līdzekļiem.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50.3. ja projekta izmaksas pieaug, projekta sadārdzinājumu sedz no saviem līdzekļiem, nodrošinot piemērojamo komercdarbības atbalsta regulējuma normu ievērošanu.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Atbildīgā iestāde, ierobežotas atlases ietvarā, 4.1.1.1. pasākuma sestās projektu iesniegumu atlases kārtas ietvaros šo noteikumu </w:t>
            </w:r>
            <w:r w:rsidR="00000000" w:rsidRPr="00000000" w:rsidDel="00000000">
              <w:rPr>
                <w:rtl w:val="0"/>
              </w:rPr>
              <w:t xml:space="preserve">​</w:t>
            </w:r>
            <w:r w:rsidR="00000000" w:rsidRPr="00000000" w:rsidDel="00000000">
              <w:rPr>
                <w:rtl w:val="0"/>
              </w:rPr>
              <w:t xml:space="preserve">pielikumu</w:t>
            </w:r>
            <w:r w:rsidR="00000000" w:rsidRPr="00000000" w:rsidDel="00000000">
              <w:rPr>
                <w:rtl w:val="0"/>
              </w:rPr>
              <w:t xml:space="preserve"> 3.1. un 3.2. ailē minētos finansējuma saņēmējus uzaicinās katru atsevišķi.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Eiropas Savienības fondu 2021.–2027. gada plānošanas perioda vadības likuma terminoloģijai, lūdzam izvērtēt un aizstāt noteikumu projekta 56.punktā vārdus "finansējuma saņēmējus" ar vārdiem "projekta iesniedzējus", kā ari lūdzam norādīt, ka minētie projekta iesniedzēji tiek uzaicināti iesniegt projekta iesniegumu.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56.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Atbildīgā iestāde, ierobežotas atlases ietvarā, 4.1.1.1. pasākuma sestās projektu iesniegumu atlases kārtas ietvaros šo noteikumu </w:t>
            </w:r>
            <w:r w:rsidR="00000000" w:rsidRPr="00000000" w:rsidDel="00000000">
              <w:rPr>
                <w:rtl w:val="0"/>
              </w:rPr>
              <w:t xml:space="preserve">​</w:t>
            </w:r>
            <w:r w:rsidR="00000000" w:rsidRPr="00000000" w:rsidDel="00000000">
              <w:rPr>
                <w:rtl w:val="0"/>
              </w:rPr>
              <w:t xml:space="preserve">pielikumu</w:t>
            </w:r>
            <w:r w:rsidR="00000000" w:rsidRPr="00000000" w:rsidDel="00000000">
              <w:rPr>
                <w:rtl w:val="0"/>
              </w:rPr>
              <w:t xml:space="preserve"> 3.1. un 3.2. ailē minētos projekta iesniedzējus uzaicinās iesniegt projekta iesniegumu katru atsevišķi.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24-TA-3293</w:t>
    </w:r>
    <w:r>
      <w:br/>
    </w:r>
    <w:r w:rsidR="00000000" w:rsidRPr="00000000" w:rsidDel="00000000">
      <w:rPr>
        <w:rtl w:val="0"/>
      </w:rPr>
      <w:t xml:space="preserve">20.01.2025. 13.44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24-TA-3293</w:t>
    </w:r>
    <w:r>
      <w:br/>
    </w:r>
    <w:r w:rsidR="00000000" w:rsidRPr="00000000" w:rsidDel="00000000">
      <w:rPr>
        <w:rtl w:val="0"/>
      </w:rPr>
      <w:t xml:space="preserve">20.01.2025. 13.44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Izziņa_24-TA-3293.docx</dc:title>
</cp:coreProperties>
</file>

<file path=docProps/custom.xml><?xml version="1.0" encoding="utf-8"?>
<Properties xmlns="http://schemas.openxmlformats.org/officeDocument/2006/custom-properties" xmlns:vt="http://schemas.openxmlformats.org/officeDocument/2006/docPropsVTypes"/>
</file>