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25-TA-1407: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Farmaceitiskās darbības licencēšanas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noteikumi "Farmaceitiskās darbības licencēšanas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38.7.3.apakšpunkta izriet, ka pēc projekta 35.1.apakšpunktā minētās atbilstības novērtēšanas pārbaudes Zāļu valsts aģentūras amatpersona sastāda ziņojumu, kurā norāda (</w:t>
            </w:r>
            <w:r w:rsidR="00000000" w:rsidRPr="00000000" w:rsidDel="00000000">
              <w:rPr>
                <w:i w:val="1"/>
                <w:rtl w:val="0"/>
              </w:rPr>
              <w:t xml:space="preserve">ja atbilstību novērtē sakarā ar licences pārreģistrēšanu</w:t>
            </w:r>
            <w:r w:rsidR="00000000" w:rsidRPr="00000000" w:rsidDel="00000000">
              <w:rPr>
                <w:rtl w:val="0"/>
              </w:rPr>
              <w:t xml:space="preserve">) informāciju par uzliktajiem administratīvajiem sodiem par farmaceitiskās vai veterinārfarmaceitiskās darbības normatīvo aktu pārkāpumiem vai narkotisko un psihotropo vielu un zāļu aprites normatīvo aktu pārkāpumiem pēc iepriekšējās pārbaudes, norādot arī amatpersonas, kuras sodītas, un ziņas par naudas soda samaksu.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62.2.apakšpunkta izriet, ka lēmumu par atteikumu izsniegt vai pārreģistrēt licenci Zāļu valsts aģentūra pieņem, ja konstatēta neatbilstība farmaceitisko vai veterinārfarmaceitisko jomu un narkotisko un psihotropo zāļu un kontrolējamo vielu apriti regulējošajos normatīvajos aktos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63.10.apakšpunkta izriet, ka projekta 52.2.apakšpunktā minēto lēmumu par licences zāļu lieltirgotavas darbībai vai aptiekas darbībai apturēšanu vai par licencē norādītā speciālās darbības nosacījuma apturēšanu Zāļu valsts aģentūra pieņem, ja licences turētājs vai atbildīgās amatpersonas nav samaksājušas naudas sodu, kas uzlikts par farmācijas vai veterinārfarmācijas jomu, narkotisko un psihotropo vielu un zāļu apriti regulējošo normatīvo aktu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1.pielikuma 18.4.apakšpunktā norādīts, ka Iesniegumam atbilstības novērtēšanai un speciālās atļaujas (licences) izsniegšanai (pārreģistrēšanai) pievieno iesniedzēja apliecinājumu, ka viņa dibinātāji un biedri atbilst Narkotisko un psihotropo vielu un zāļu, kā arī prekursoru likumīgās aprites likuma 11.panta 2.punktā minētajām prasībām (</w:t>
            </w:r>
            <w:r w:rsidR="00000000" w:rsidRPr="00000000" w:rsidDel="00000000">
              <w:rPr>
                <w:i w:val="1"/>
                <w:rtl w:val="0"/>
              </w:rPr>
              <w:t xml:space="preserve">juridiskās personas dibinātāji un biedri, kā arī amatpersonas nav sodītas par noziedzīga nodarījuma izdarīšanu, kā arī nav administratīvi sodītas par pārkāpumiem, kas saistīti ar narkotisko un psihotropo vielu un prekursoru apriti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4.pielikuma 9.8.apakšpunktā norādīts, ka Iesniegumam atbilstības novērtēšanai un speciālās atļaujas (licences) izsniegšanai vai pārreģistrēšanai zāļu lieltirgotavas atvēršanai (darbībai) pievieno iesniedzēja rakstisku apliecinājumu, ka viņa dibinātāji un biedri atbilst Narkotisko un psihotropo vielu un zāļu, kā arī prekursoru likumīgās aprites likuma 11.panta 2.punktā minētajām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5.pielikuma 17.punktā norādīts, ka iesniedzot Iesniegumu par speciālās atļaujas (licences) aptiekas atvēršanai (darbībai) izsniegšanu vai pārreģistrēšanu vai par izmaiņām iesniegtajā informācijā un dokumentos persona informē, ka aptiekas vadītājs un aptiekas vadītāja vietnieks (komersants vai komersanta izpildinstitūcijā iesaistītās personas) gada laikā pirms pieteikuma iesniegšanas ir vai nav sodīta par pārkāpumiem saistībā ar farmaceitisko darbību, kā arī par to vai sodāmība ir vai nav noņemta vai dzēsta saskaņā ar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projektā un projekta sākotnējās ietekmes (</w:t>
            </w:r>
            <w:r w:rsidR="00000000" w:rsidRPr="00000000" w:rsidDel="00000000">
              <w:rPr>
                <w:i w:val="1"/>
                <w:rtl w:val="0"/>
              </w:rPr>
              <w:t xml:space="preserve">ex-ante</w:t>
            </w:r>
            <w:r w:rsidR="00000000" w:rsidRPr="00000000" w:rsidDel="00000000">
              <w:rPr>
                <w:rtl w:val="0"/>
              </w:rPr>
              <w:t xml:space="preserve">) novērtējuma ziņojumā (anotācijā) (turpmāk – anotācija) nav norādīts, no kāda informācijas avota Zāļu valsts aģentūra saņems minēto informāciju par personas iespējamo sodāmību.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ziņas par personu izdarītajiem administratīvajiem pārkāpumiem vai noziedzīgiem nodarījumiem tiek uzkrātas valsts informācijas sistēmā “Sodu reģistrs”, kura izveidošanas mērķis ir vienotās uzskaites izveide par noziedzīgus nodarījumus un administratīvos pārkāpumus izdarījušām personām, lai veicinātu šo nodarījumu un pārkāpumu novēršanu un atklāšanu, kā arī par tiem personai noteiktā soda izpildes un tiesību ierobežojumu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Sodu reģistra likuma 21.panta pirmās daļas regulējumam valsts informācijas sistēmā “Sodu reģistrs” iekļautās ziņas sniedz izziņas veidā vai tiešsaistes datu pārraides režīmā, ja tiek identificēts ziņu pieprasītājs.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2016.gada 27.aprīļa regulas (ES) 2016/679 par fizisku personu aizsardzību attiecībā uz personas datu apstrādi un šādu datu brīvu apriti un ar ko atceļ direktīvu 95/46/EK (Vispārīgā datu aizsardzības regula) (turpmāk – Datu regula) 5.panta 1.punkta a) apakšpunktā ir noteikts datu apstrādes likumības un godprātības princips, t.i., jebkurai personas datu apstrādei ir jābūt tiesiskam pamatam. Godprātības princips būtībā ietver arī visus pārējos principus (likumīgumu, pārredzamību, nolūka ierobežojumu, datu minimizēšanu, precizitāti, glabāšanas ierobežojumu, integritāti un konfidencialitāti, pārskata atbildību), jo tie visi ir vērsti uz to, lai pārzinis nodrošinātu godīgu attieksmi pret datu subjektu – personu, kuras dati tiek apstrādāti. Datu regulas 5.panta 1.punkta c) apakšpunktā ir ietverts datu minimizēšanas princips, proti, personas dati ir adekvāti, atbilstīgi un ietver tikai to, kas nepieciešams to apstrādes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Iekšlietu ministrijas Informācijas centrs kā valsts informācijas sistēmas “Sodu reģistrs” pārzinis ir atbildīgs par personas datu apstrādes atbilstību Datu regulai. Iekšlietu ministrijas Informācijas centram attiecīgajā gadījumā jābūt precīzi zināmam datu apjomam, kuru būs jāsniedz (vai kuru jādara pieejamu), lai Zāļu valsts aģentūra pārbaudītu, vai persona atbilst projektā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tiesību normai ir jābūt skaidrai un saprotamai, lai tās lietotājs un piemērotājs gūtu nepārprotamu priekšstatu par savām tiesībām, pienākumiem un juridiskām sekām, precizēt projekta anotāciju, norādot informācijas par personas iespējamo sodāmību avotu un tās saņemšanas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minēto informāciju paredzēts iegūt no valsts informācijas sistēmā “Sodu reģistrs”, tad tiesiskās skaidrības nodrošināšanai, kā arī, lai Iekšlietu ministrijas Informācijas centrs ievērotu datu apstrādes minimizēšanas principu, sniedzot ziņas par administratīvajiem pārkāpumiem vai noziedzīgiem nodarījumiem, precizēt projektu vai projekta anotāciju, papildus norādot attiecīgo nozari regulējošo likumu un Krimināllikuma pantus, par kuros paredzētajiem administratīvajiem pārkāpumiem un noziedzīgajiem nodarījumiem persona nedrīkst būt sodīta.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skaidrojumu par Zāļu valsts aģentūras tiesībām IeM uzturētās datu bāzes "Sodu reģistrs" datu apstrādē.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noteikumi "Farmaceitiskās darbības licencēšanas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Farmācijas likuma 5.panta 1., 1.</w:t>
            </w:r>
            <w:r w:rsidR="00000000" w:rsidRPr="00000000" w:rsidDel="00000000">
              <w:rPr>
                <w:vertAlign w:val="superscript"/>
                <w:rtl w:val="0"/>
              </w:rPr>
              <w:t xml:space="preserve">1 </w:t>
            </w:r>
            <w:r w:rsidR="00000000" w:rsidRPr="00000000" w:rsidDel="00000000">
              <w:rPr>
                <w:rtl w:val="0"/>
              </w:rPr>
              <w:t xml:space="preserve">., 14., 19.</w:t>
            </w:r>
            <w:r w:rsidR="00000000" w:rsidRPr="00000000" w:rsidDel="00000000">
              <w:rPr>
                <w:vertAlign w:val="superscript"/>
                <w:rtl w:val="0"/>
              </w:rPr>
              <w:t xml:space="preserve">1</w:t>
            </w:r>
            <w:r w:rsidR="00000000" w:rsidRPr="00000000" w:rsidDel="00000000">
              <w:rPr>
                <w:rtl w:val="0"/>
              </w:rPr>
              <w:t xml:space="preserve"> un  26.punktu, 37., 45. un 51.pantu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Narkotisko un psihotropo vielu un zāļu, kā arī prekursoru likumīgās aprites likuma 12. panta pirmo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Veselības ministrijas sagatavotais Ministru kabineta noteikumu projekts “Farmaceitiskās darbības licencēšanas noteikumi” (turpmāk – projekts) un par to izsakām šādus iebildumus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izdošanas norādi - Farmācijas likuma (turpmāk – likums) pilnvarojumus Ministru kabinetam par noteikumu izdošanu- - nepieciešams precizēt, jo šobrīd un arī pēc 2025. gada 1. jūlija likuma 37. un 45. pants neparedz pilnvarojumu Ministru kabinetam par noteikumu izdošanu, savukārt likuma 51. pantā pilnvarojums ir devītajā daļā. Ievērojot minēto, nepieciešams precizēt projekta izdošanas norādi, kā arī jāizvērtē un nepieciešamības gadījumā jāprecizē projekta 1. punkts, jo tajā atbilstoši norādītajiem pilnvarojumiem var paredzēt šādu regulējumu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nosacījumus un kārtību, kādā izsniedzamas, apturamas, atjaunojamas, pārreģistrējamas un anulējamas speciālās atļaujas (licences) veterinārfarmaceitiskajai darbībai, farmaceitu profesionālās kvalifikācijas sertifikāti, aptieku darbības uzsākšanas un darbības kārtību, kā arī veterināro zāļu lieltirgotavu un veterināro zāļu ražošanas vai importēšanas darbības uzsākšanas, darbības un atbilstības novērtēšanas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farmaceitiskās darbības licencēšanas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kārtību, kādā tiek vērtēta zāļu (izņemot veterināro zāļu) izplatīšanas atbilstība labas izplatīšanas prakses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apmēru, kādā maksājama valsts nodeva par speciālās atļaujas (licences) izsniegšanu un pārreģistrēšanu farmaceitiskajai darbībai, un kārtību, kādā tā iekasējama, kā arī atvieglojumus un atbrīvojumus no valsts nodevas;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aptiekās izplatāmos pārtikas produktus;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gadījumus, kad speciālā atļauja (licence) zāļu, tajā skaitā pētāmo zāļu un papildzāļu, un veterināro zāļu ražošanai un importēšanai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speciālās atļaujas (licences) izsniegšanas, pārreģistrācijas, apturēšanas, atjaunošanas un anulēšanas kārtība narkotiskajām un psihotropajām vielām un zālēm.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noteikumu 1. punktā izvērsti nav jānorāda dažādi farmaceitiskās darbības licencēšanas veidi, ja regulējums par to atbilst likuma pilnvarojumam un tas tiek paredzēts projekta turpmākajos 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izdošanas norāde un 1. punkts atbilstoši Tieslietu ministrijas norādei.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Izdoti saskaņā ar Farmācijas likuma 5.panta 1., 1.</w:t>
            </w:r>
            <w:r w:rsidR="00000000" w:rsidRPr="00000000" w:rsidDel="00000000">
              <w:rPr>
                <w:vertAlign w:val="superscript"/>
                <w:rtl w:val="0"/>
              </w:rPr>
              <w:t xml:space="preserve">1</w:t>
            </w:r>
            <w:r w:rsidR="00000000" w:rsidRPr="00000000" w:rsidDel="00000000">
              <w:rPr>
                <w:rtl w:val="0"/>
              </w:rPr>
              <w:t xml:space="preserve">., 14., 19.</w:t>
            </w:r>
            <w:r w:rsidR="00000000" w:rsidRPr="00000000" w:rsidDel="00000000">
              <w:rPr>
                <w:vertAlign w:val="superscript"/>
                <w:rtl w:val="0"/>
              </w:rPr>
              <w:t xml:space="preserve">1</w:t>
            </w:r>
            <w:r w:rsidR="00000000" w:rsidRPr="00000000" w:rsidDel="00000000">
              <w:rPr>
                <w:rtl w:val="0"/>
              </w:rPr>
              <w:t xml:space="preserve"> un  26.punktu, un Narkotisko un psihotropo vielu un zāļu, kā arī prekursoru likumīgās aprites likuma 12.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farmaceitiskās darbības licencēšanas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nosacījumus un kārtību, kādā izsniedzamas, apturamas, atjaunojamas, pārreģistrējamas un anulējamas speciālās atļaujas (licences) veterinārfarmaceitiskajai darbībai (speciālās atļaujas (licences) vispārēja jeb atvērta tipa aptiekai, kurā norādīta atļautā veterinārfarmaceitiskās darbības joma -  veterināro zāļu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speciālās atļaujas (licences) izsniegšanas, pārreģistrācijas, apturēšanas, atjaunošanas un anulēšanas kārtību narkotiskajām un psihotropajām vielām </w:t>
            </w:r>
            <w:r w:rsidR="00000000" w:rsidRPr="00000000" w:rsidDel="00000000">
              <w:rPr>
                <w:b w:val="1"/>
                <w:rtl w:val="0"/>
              </w:rPr>
              <w:t xml:space="preserve">(turpmāk - kontrolējamās vielas)</w:t>
            </w:r>
            <w:r w:rsidR="00000000" w:rsidRPr="00000000" w:rsidDel="00000000">
              <w:rPr>
                <w:rtl w:val="0"/>
              </w:rPr>
              <w:t xml:space="preserve"> un zālēm;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kārtību, kādā tiek vērtēta zāļu (izņemot veterinārās zāles) izplatīšanas atbilstība labas izplatīšanas prakses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apmēru, kādā maksājama valsts nodeva par speciālās atļaujas (licences) izsniegšanu un pārreģistrēšanu farmaceitiskajai darbībai, un kārtību, kādā tā iekasējama, kā arī atvieglojumus un atbrīvojumus no valsts nodevas;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aptiekās izplatāmos pārtikas produktus.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Šie noteikumi neattiecas uz nosacījumiem un kārtību, kādā izsniedzamas, apturamas, atjaunojamas, pārreģistrējamas un anulējamas speciālās atļaujas (licences) veterinārfarmaceitiskajai darbībai  (veterināro zāļu lieltirgotavas atvēršanai (darbībai), veterināro zāļu ražošanai vai importēšanai, kurā norādīta atļautā darbības joma — ražošanas vai importēšanas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Lēmumu par licences izsniegšanu un pārreģistrēšanu pieņem Zāļu valsts aģentūra (turpmāk – aģentūra) pēc tam, kad ir novērtēta zāļu vai pētāmo zāļu ražošanas vai importēšanas, vai kontrolējamo vielu ražošanas, vai zāļu lieltirgotavas atbilstība (neattiecas uz aktīvajām vielām, izņemot kontrolējamās vielas) vai saskaņā ar šo noteikumu 35.punktu izvērtēts, ka aptiekas telpas, aprīkojums, iekārtas, personāls un dokumentācija atbilst šajos noteikumos, normatīvajos aktos par aptieku darbību, zāļu izplatīšanu un citos farmācijas jomu regulējošajos normatīvajos aktos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Aģentūra pieņem lēmumu par speciālo atļauju (licenču) izsniegšanu, apturēšanu, atjaunošanu, pārreģistrēšanu un anulēšanu, kā arī par atteikumu izsniegt un pārreģistrēt: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licenci vispārēja jeb atvērta tipa aptiekas atvēršanai (darbībai)</w:t>
            </w:r>
            <w:r w:rsidR="00000000" w:rsidRPr="00000000" w:rsidDel="00000000">
              <w:rPr>
                <w:b w:val="1"/>
                <w:rtl w:val="0"/>
              </w:rPr>
              <w:t xml:space="preserve"> (turpmāk – licence vispārēja tipa aptiekas darbībai),</w:t>
            </w:r>
            <w:r w:rsidR="00000000" w:rsidRPr="00000000" w:rsidDel="00000000">
              <w:rPr>
                <w:rtl w:val="0"/>
              </w:rPr>
              <w:t xml:space="preserve"> kurā atbilstoši Farmācijas likuma 37. pantam norādīta atļautā darbības joma un atļautās darbības ar narkotiskajām un psihotropajām vielām un zālēm, un kura atbilst Farmācijas likuma 36.pantam: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farmaceita vai farmaceita asistenta praksei;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farmaceita vai farmaceita asistenta koppraksei;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 kapitālsabiedrībai;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4.1.4.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licenci slēgta tipa jeb ārstniecības iestāžu aptiekas atvēršanai (darbībai) </w:t>
            </w:r>
            <w:r w:rsidR="00000000" w:rsidRPr="00000000" w:rsidDel="00000000">
              <w:rPr>
                <w:b w:val="1"/>
                <w:rtl w:val="0"/>
              </w:rPr>
              <w:t xml:space="preserve">(turpmāk – licence slēgta tipa aptiekas darbībai)</w:t>
            </w:r>
            <w:r w:rsidR="00000000" w:rsidRPr="00000000" w:rsidDel="00000000">
              <w:rPr>
                <w:rtl w:val="0"/>
              </w:rPr>
              <w:t xml:space="preserve">, kurā norādītas atļautās darbības ar narkotiskajām un psihotropajām vielām un zālēm;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licenci zāļu izplatīšanai vairumtirdzniecībā, kurā atbilstoši Farmācijas likuma 45. panta pirmajai daļai norādīta atļautā darbības joma zāļu izplatīšanai vairumtirdzniecībā un atļautās darbības ar narkotiskajām un psihotropajām vielām un zālēm</w:t>
            </w:r>
            <w:r w:rsidR="00000000" w:rsidRPr="00000000" w:rsidDel="00000000">
              <w:rPr>
                <w:b w:val="1"/>
                <w:rtl w:val="0"/>
              </w:rPr>
              <w:t xml:space="preserve"> (turpmāk – licence zāļu lieltirgotavas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licenci zāļu vai pētāmo zāļu ražošanai vai importēšanai, kurā atbilstoši Farmācijas likuma 51. panta pirmajai un trešajai daļai norādīta atļautā darbības joma — zāļu vai pētāmo zāļu ražošanas vai importēšanas darbības un atļautās ražošanas vai importēšanas darbības ar narkotiskajām un psihotropajām vielām un zālēm </w:t>
            </w:r>
            <w:r w:rsidR="00000000" w:rsidRPr="00000000" w:rsidDel="00000000">
              <w:rPr>
                <w:b w:val="1"/>
                <w:rtl w:val="0"/>
              </w:rPr>
              <w:t xml:space="preserve">(turpmāk – licence zāļu ražošanai vai importēšanai)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licenci aktīvo vielu vai </w:t>
            </w:r>
            <w:r w:rsidR="00000000" w:rsidRPr="00000000" w:rsidDel="00000000">
              <w:rPr>
                <w:b w:val="1"/>
                <w:rtl w:val="0"/>
              </w:rPr>
              <w:t xml:space="preserve">kontrolējamo vielu </w:t>
            </w:r>
            <w:r w:rsidR="00000000" w:rsidRPr="00000000" w:rsidDel="00000000">
              <w:rPr>
                <w:rtl w:val="0"/>
              </w:rPr>
              <w:t xml:space="preserve">(narkotiskās un psihotropajās vielas) ražošanai vai spirta (palīgviela) fasēšanai (izmantošanai ārstniecībā un veterinārmedicīnā)."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Farmācijas likuma 5.panta 1., 1.</w:t>
            </w:r>
            <w:r w:rsidR="00000000" w:rsidRPr="00000000" w:rsidDel="00000000">
              <w:rPr>
                <w:vertAlign w:val="superscript"/>
                <w:rtl w:val="0"/>
              </w:rPr>
              <w:t xml:space="preserve">1</w:t>
            </w:r>
            <w:r w:rsidR="00000000" w:rsidRPr="00000000" w:rsidDel="00000000">
              <w:rPr>
                <w:rtl w:val="0"/>
              </w:rPr>
              <w:t xml:space="preserve">., 14., 19.</w:t>
            </w:r>
            <w:r w:rsidR="00000000" w:rsidRPr="00000000" w:rsidDel="00000000">
              <w:rPr>
                <w:vertAlign w:val="superscript"/>
                <w:rtl w:val="0"/>
              </w:rPr>
              <w:t xml:space="preserve">1</w:t>
            </w:r>
            <w:r w:rsidR="00000000" w:rsidRPr="00000000" w:rsidDel="00000000">
              <w:rPr>
                <w:rtl w:val="0"/>
              </w:rPr>
              <w:t xml:space="preserve"> un  26.punktu un Narkotisko un psihotropo vielu un zāļu, kā arī prekursoru likumīgās aprites likuma 12. panta pirmo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Ja aģentūra ir pieņēmusi lēmumu par lietas izskatīšanas termiņa pagarināšanu, lēmuma pieņemšanas dienā par to paziņo pa tālruni un minēto lēmumu 10 dienu laikā pa faksu un elektronisko pastu (ja elektroniskā pasta adrese ir norādīta iesniegumā) nosūta iesniedzējam. Ja nepieciešama papildu pārbaude, aģentūras amatpersonas nodrošina tās veikšanu un par to sastāda kontroles ziņojumu saskaņā ar šo noteikumu 38.punktu.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54. un 58. punktu nepieciešams izvērtēt un piedāvājam tos precizēt, veidojot atsauces normas par Paziņošanas likumā noteiktā regulējuma piemērošanu, vai svītrot. Vēršam uzmanību, ka administratīvo aktu paziņošana administratīvajā procesā notiek tikai Paziņošanas likumā noteiktajā kārtībā, kas paredz gan adresāta telefonisku informēšanu (Paziņošanas likuma 9.panta piektā daļa), gan arī dažādus citus paziņošanas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54 un 58.punkts precizēts, izdarot atsauci uz Paziņošanas 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Ja aģentūra ir pieņēmusi lēmumu par lietas izskatīšanas termiņa pagarināšanu par to paziņo Paziņošanas likuma noteiktajā kārtībā. Ja nepieciešama papildu pārbaude, aģentūras amatpersonas nodrošina tās veikšanu un par to sastāda kontroles ziņojumu saskaņā ar šo noteikumu 38.punktu.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Ja aģentūra pieņem šo noteikumu 52.6.apakšpunktā minēto lēmumu par licences anulēšanu, pamatojoties uz kontrolējošo iestāžu amatpersonu ziņojumu, tā nosaka termiņu (ne ilgāku par diviem mēnešiem), no kura licence tiek anulēta, un norāda to pieņemtajā lēmumā. Par šo lēmumu aģentūra triju dienu laikā informē licences turētāju un inspekciju.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61. punktu nepieciešams precizēt atbilstoši Administratīvā procesa likuma 70. pantā noteiktajam, proti, adresātam (licences turētājam) administratīvo aktu vienmēr paziņo, savukārt kompetentās valsts pārvaldes institūcijas (inspekcija) var informēt. Tādējādi projekta 61. punktā nepieciešams nodalīt licences turētājam un inspekcijai paredzēto paziņošanas vai informēšanas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61.punkts.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Ja aģentūra pieņem šo noteikumu 52.6.apakšpunktā minēto lēmumu par licences anulēšanu, pamatojoties uz kontrolējošo iestāžu amatpersonu ziņojumu, tā nosaka termiņu (ne ilgāku par diviem mēnešiem), no kura licence tiek anulēta, un norāda to pieņemtajā lēmumā. Par pieņemto lēmumu aģentūra triju dienu laikā paziņo licences turētājam un informē inspekciju.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84.6. zāļu, pētāmo zāļu, kontrolējamo vielu un aktīvo vielu ražošanā un kontrolē ievēro labas ražošanas prakses principus, kas noteikti normatīvajos aktos par zāļu un aktīvo vielu ražošanu un kontroli, un Eiropas Komisijas labas ražošanas prakses vadlīnijas, kā arī par izejvielām izmanto tikai tādas aktīvās vielas, kas ražotas saskaņā ar aktīvo vielu labas ražošanas prakses pamatnostādnēm;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ņemot vērā, ka atbilstoši Ministru kabineta 2009. gada 3. februāra noteikumu Nr. 108 "Normatīvo aktu projektu sagatavošanas noteikumi" 131. punktam projektā var ietvert atsauces uz citām projekta normām vai tāda paša vai augstāka juridiskā spēka normatīvajiem aktiem. Nacionālajos normatīvajos aktos nav iespējams juridiski korekti izdarīt atsauces uz starptautisko tiesību dokumentiem, kas nav saistoši Latvijai, nav tulkoti latviešu valodā un attiecīgi publiskoti, kā arī nav iespējams izveidot juridiski korektas atsauces uz tā saucamo</w:t>
            </w:r>
            <w:r w:rsidR="00000000" w:rsidRPr="00000000" w:rsidDel="00000000">
              <w:rPr>
                <w:i w:val="1"/>
                <w:rtl w:val="0"/>
              </w:rPr>
              <w:t xml:space="preserve"> soft law</w:t>
            </w:r>
            <w:r w:rsidR="00000000" w:rsidRPr="00000000" w:rsidDel="00000000">
              <w:rPr>
                <w:rtl w:val="0"/>
              </w:rPr>
              <w:t xml:space="preserve"> (dokumentiem, kas pēc savas būtības nav juridiski saistoši, piemēram, vadlīnijas, deklarācijas, rekomendācijas, rokasgrāmatas, ieteikumi). Minētais izriet no fakta, ka Latvijas Republikas normatīvo aktu normas uzliek privātpersonām saistības un ir obligātas visā Latvijas Republikas teritorijā. Piemēram, nav korekti noteikt par obligātām tādas starptautisko dokumentu prasības, kam ir rekomendējošs vai skaidrojošs raksturs. Vienlaikus vēršam uzmanību, ka rekomendācijas, vadlīnijas un tamlīdzīgi dokumenti ir piemērojami kā saistošo tiesību aktu normu interpretācijas palīglīdzeklis.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to, ka projekta 84.6. apakšpunktā ietverta atsauce uz “Eiropas Komisijas labas ražošanas prakses vadlīnijām”, kas nav juridiski saistošs un tam ir ieteikuma raksturs, lūdzam precizēt projektu, svītrojot atsauci uz vadlīnijām. Tā vietā, ja nepieciešams, lūdzam attiecīgo minēto vadlīniju saturu, kuru nepieciešams padarīt saistošu privātpersonām, pārņemt projektā, līdzīgi kā pārņem direktīvu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84.6.apakšpunkts.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84.6. zāļu un pētāmo zāļu un aktīvo vielu, tai skaitā kontrolējamo vielu, arī par zāļu izejvielām izmantoto aktīvo vielu, ražošanā un kontrolē ievēro labas ražošanas prakses principus, kas noteikti normatīvajos aktos par zāļu ražošanu un kontroli;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Aģentūras lēmumu par atteikumu izsniegt licenci, licences anulēšanu, pārreģistrēšanu vai darbības apturēšanu var apstrīdēt Administratīvā procesa likumā noteiktajā kārtībā, iesniedzot attiecīgu iesniegumu Veselības ministrijā. Veselības ministrijas lēmumu normatīvajos aktos noteiktajā kārtībā var pārsūdzēt tiesā.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85. punktu nepieciešams svītrot, jo tas dublē likumā noteikto regulējumu, proti, administratīvajā procesā paredzēto valsts pārvaldes lēmumu apstrīdēšanas un pārsūdzēšanas kārtību nosaka likuma 64. pants. Tāpat arī līdzīgs regulējums par lēmumu apstrīdēšanu un pārsūdzēšanu ir noteikts Narkotisko un psihotropo vielu un zāļu, kā arī prekursoru likumīgās aprites likumā.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jaunu Ministru kabineta noteikumu izdošanu, vienlaicīgi atzīstot par spēku zaudējušiem līdzšinējos. Tāpēc nav korekti norādīt, ka "</w:t>
            </w:r>
            <w:r w:rsidR="00000000" w:rsidRPr="00000000" w:rsidDel="00000000">
              <w:rPr>
                <w:i w:val="1"/>
                <w:rtl w:val="0"/>
              </w:rPr>
              <w:t xml:space="preserve">Ar projektu tiek saglabātas pārņemtās saistības, kas noteiktas Ministru kabineta 2011.gada 19.oktobra noteikumi Nr.800 "Farmaceitiskās darbības licencēšanas kārtība" un izriet no ES dokumentiem</w:t>
            </w:r>
            <w:r w:rsidR="00000000" w:rsidRPr="00000000" w:rsidDel="00000000">
              <w:rPr>
                <w:rtl w:val="0"/>
              </w:rPr>
              <w:t xml:space="preserve">", un visa aktuālā informācija par projekta atbilstību Eiropas Savienības tiesībām ir atspoguļojama projekta anotācijas 5. sadaļā. Norādām, ka no pašreiz anotācijā sniegtās informācijas nav iespējams izvērtēt projekta atbilstību Latvijas Republikas starptautiskajām saistībām.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Attiecīgi, pamatojoties uz Ministru kabineta 2021. gada 7. septembra noteikumu Nr. 617 "Tiesību akta projekta sākotnējās ietekmes izvērtēšanas kārtība" 9.19. apakšpunktu, lūdzam aizpildīt anotācijas 5. sadaļu, nodrošinot pilnīgu informāciju par projekta atbilstību Latvijas Republikas starptautiskajām saistībām un to izpildes atspoguļojumu (anotācijas 5. sadaļas aizpildīšanā iesakām ievērot "Vadlīnijas tiesību akta projekta sākotnējās ietekmes novērtēšanai un novērtējuma ziņojuma sagatavošanai Vienotajā tiesību aktu izstrādes un saskaņošanas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projektā ieviestas Eiropas Savienības regulu prasības - projektā ietvertas atsauces uz regulu normām. Norādām, ka, lai arī regulas ir tieši piemērojamas un tās atšķirībā no direktīvām, nav jāpārņem nacionālajos tiesību aktos, dalībvalstij ir jānodrošina regulu tieša piemērošana katrā dalībvalstī un tam var būt nepieciešami īpaši regulas ieviešanas pasākumi (piemēram, lai noteiktu kompetento iestādi, noteiktu administratīvo procedūru regulā noteiktu pasākumu īstenošanai u.c.). Dalībvalstij ir arī pienākums nodrošināt tādu normatīvo bāzi, lai regulas būtu iespējams tieši piemērot, tostarp, ja vajadzīgs, izstrādājot jaunus normatīvos aktus vai veicot grozījumus jau esošajos normatīvajos aktos. Citstarp atsauču uz regulu un tās vienībām ietveršana normatīvajos aktos pēc būtības ir regulas prasību ieviešana, jo tādējādi tiek nodrošināta regulas prasību praktiskā piemērošana. Attiecīgi, ņemot vērā minēto, lūdzam anotācijas 5. sadaļā atspoguļot arī no projekta izrietošo Eiropas Savienības tiesību aktu ieviešanu.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iesakām precizēt skaidrojumus par to, ka "</w:t>
            </w:r>
            <w:r w:rsidR="00000000" w:rsidRPr="00000000" w:rsidDel="00000000">
              <w:rPr>
                <w:i w:val="1"/>
                <w:rtl w:val="0"/>
              </w:rPr>
              <w:t xml:space="preserve">Eiropas Parlamenta un Padomes 2001.gada 4.aprīļa Direktīvas 2001/20/EK par dalībvalstu normatīvo un administratīvo aktu tuvināšanu attiecībā uz labas klīniskās prakses ieviešanu klīniskās izpētes veikšanā ar cilvēkiem paredzētām zālēm un Komisijas 2005.gada 8.aprīļa Direktīvas 2005/28/EK, ar ko nosaka labas klīniskās prakses principus un sīki izstrādātas pamatnostādnes attiecībā uz pētāmām cilvēkiem paredzētām zālēm, kā arī prasības attiecībā uz šādu zāļu ražošanas atļauju vai importēšanu</w:t>
            </w:r>
            <w:r w:rsidR="00000000" w:rsidRPr="00000000" w:rsidDel="00000000">
              <w:rPr>
                <w:rtl w:val="0"/>
              </w:rPr>
              <w:t xml:space="preserve">" ir zaudējušas spēku, ņemot vērā, ka, atbilstoši Eiropas Parlamenta un Padomes 2014. gada 16. aprīļa regulas (ES) Nr. 536/2014 par cilvēkiem paredzētu zāļu klīniskajām pārbaudēm un ar ko atceļ Direktīvu 2001/20/EK pārejas noteikumiem, šo direktīvu noteikumi, atsevišķos gadījumos, vēl var tikt piemēroti.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 sadaļa aizpildīta, norādot </w:t>
            </w:r>
            <w:r w:rsidR="00000000" w:rsidRPr="00000000" w:rsidDel="00000000">
              <w:rPr>
                <w:b w:val="1"/>
                <w:u w:val="single"/>
                <w:rtl w:val="0"/>
              </w:rPr>
              <w:t xml:space="preserve">aktuālo </w:t>
            </w:r>
            <w:r w:rsidR="00000000" w:rsidRPr="00000000" w:rsidDel="00000000">
              <w:rPr>
                <w:rtl w:val="0"/>
              </w:rPr>
              <w:t xml:space="preserve">informāciju par ES tiesību aktu normām, kas attiecināmas uz farmaceitiskās darbības licencēšanu.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2001.gada 4.aprīļa Direktīvas 2001/20/EK par dalībvalstu normatīvo un administratīvo aktu tuvināšanu attiecībā uz labas klīniskās prakses ieviešanu klīniskās izpētes veikšanā ar cilvēkiem paredzētām zālēm un Komisijas 2005.gada 8.aprīļa Direktīvas 2005/28/EK, ar ko nosaka labas klīniskās prakses principus un sīki izstrādātas pamatnostādnes neattiecas uz pētāmo cilvēkiem paredzētām zāļu ražošanas un importēšanas licencēšanu.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informācija - tā kā Direktīva 2011/62 1. panta 4. punkta norma aizstāj  direktīvas 2004/27 1. panta 32. punkta normu, kas groza Direktīvu 2001/83, no Informatīvajā atsaucē uz Eiropas Savienības direktīvām nav jānorāda Eiropas Parlamenta un Padomes 2004.gada 31.marta Direktīvas 2004/27/EK, ar ko groza Direktīvu 2001/83/EK par Kopienas kodeksu, kas attiecas uz cilvēkiem paredzētām zālēm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noteikumi "Farmaceitiskās darbības licencēšanas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Farmācijas likuma 45.</w:t>
            </w:r>
            <w:r w:rsidR="00000000" w:rsidRPr="00000000" w:rsidDel="00000000">
              <w:rPr>
                <w:vertAlign w:val="superscript"/>
                <w:rtl w:val="0"/>
              </w:rPr>
              <w:t xml:space="preserve">1</w:t>
            </w:r>
            <w:r w:rsidR="00000000" w:rsidRPr="00000000" w:rsidDel="00000000">
              <w:rPr>
                <w:rtl w:val="0"/>
              </w:rPr>
              <w:t xml:space="preserve"> un 51.</w:t>
            </w:r>
            <w:r w:rsidR="00000000" w:rsidRPr="00000000" w:rsidDel="00000000">
              <w:rPr>
                <w:vertAlign w:val="superscript"/>
                <w:rtl w:val="0"/>
              </w:rPr>
              <w:t xml:space="preserve">2 </w:t>
            </w:r>
            <w:r w:rsidR="00000000" w:rsidRPr="00000000" w:rsidDel="00000000">
              <w:rPr>
                <w:rtl w:val="0"/>
              </w:rPr>
              <w:t xml:space="preserve">pantā minētos nosacījumus, aicinām izvērtēt nepieciešamību attiecīgi precizēt noteikumu projektu, piemēram, 41., 42., 44., 46., 52. un 56. punktu, kā arī noteikumu projekta 4. pielikuma 3.2. punktu, attiecībā uz veterināro zāļu ražošanu vai izplatīšanu vairumtirdzniecībā vai attiecīgi precizēt noteikumu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projektā, anotācijā un noteikumu projekta pielikumos nepārprotami norādīt uz kāda veida veterinārām zālēm attiecas speciālās atļaujas (licences) zāļu ražošanai vai importēšanai un zāļu lieltirgotavas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41., 42., 44., 46., 52., 56. un 57. punkts, jo </w:t>
            </w:r>
            <w:r w:rsidR="00000000" w:rsidRPr="00000000" w:rsidDel="00000000">
              <w:rPr>
                <w:u w:val="single"/>
                <w:rtl w:val="0"/>
              </w:rPr>
              <w:t xml:space="preserve">veterināro zāļu un vielu ražošanas/ importēšana un vairumtirdzniecības licencēšanu veic  Zāļu valsts aģentūra.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noteikumi "Farmaceitiskās darbības licencēšanas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Farmācijas likuma 5.panta 1., 1.</w:t>
            </w:r>
            <w:r w:rsidR="00000000" w:rsidRPr="00000000" w:rsidDel="00000000">
              <w:rPr>
                <w:vertAlign w:val="superscript"/>
                <w:rtl w:val="0"/>
              </w:rPr>
              <w:t xml:space="preserve">1 </w:t>
            </w:r>
            <w:r w:rsidR="00000000" w:rsidRPr="00000000" w:rsidDel="00000000">
              <w:rPr>
                <w:rtl w:val="0"/>
              </w:rPr>
              <w:t xml:space="preserve">., 14., 19.</w:t>
            </w:r>
            <w:r w:rsidR="00000000" w:rsidRPr="00000000" w:rsidDel="00000000">
              <w:rPr>
                <w:vertAlign w:val="superscript"/>
                <w:rtl w:val="0"/>
              </w:rPr>
              <w:t xml:space="preserve">1</w:t>
            </w:r>
            <w:r w:rsidR="00000000" w:rsidRPr="00000000" w:rsidDel="00000000">
              <w:rPr>
                <w:rtl w:val="0"/>
              </w:rPr>
              <w:t xml:space="preserve"> un  26.punktu, 37., 45. un 51.pantu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Narkotisko un psihotropo vielu un zāļu, kā arī prekursoru likumīgās aprites likuma 12. panta pirmo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noteiktās kompetences Farmācijas likumā, aicinām izvērtēt, kuros noteikumu projekta punktos nepieciešama atsauce uz veterināro zāļu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punkti pārskatīti, attiecīgajos punktos ietvertas atsauces uz veterināro zāļu 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Farmācijas likuma 5.panta 1., 1.</w:t>
            </w:r>
            <w:r w:rsidR="00000000" w:rsidRPr="00000000" w:rsidDel="00000000">
              <w:rPr>
                <w:vertAlign w:val="superscript"/>
                <w:rtl w:val="0"/>
              </w:rPr>
              <w:t xml:space="preserve">1</w:t>
            </w:r>
            <w:r w:rsidR="00000000" w:rsidRPr="00000000" w:rsidDel="00000000">
              <w:rPr>
                <w:rtl w:val="0"/>
              </w:rPr>
              <w:t xml:space="preserve">., 14., 19.</w:t>
            </w:r>
            <w:r w:rsidR="00000000" w:rsidRPr="00000000" w:rsidDel="00000000">
              <w:rPr>
                <w:vertAlign w:val="superscript"/>
                <w:rtl w:val="0"/>
              </w:rPr>
              <w:t xml:space="preserve">1</w:t>
            </w:r>
            <w:r w:rsidR="00000000" w:rsidRPr="00000000" w:rsidDel="00000000">
              <w:rPr>
                <w:rtl w:val="0"/>
              </w:rPr>
              <w:t xml:space="preserve"> un  26.punktu un Narkotisko un psihotropo vielu un zāļu, kā arī prekursoru likumīgās aprites likuma 12. panta pirmo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apmēru, kādā maksājama valsts nodeva par speciālās atļaujas (licences) izsniegšanu un pārreģistrēšanu farmaceitiskajai darbībai, un kārtību, kādā tā iekasējama, kā arī atvieglojumus un atbrīvojumus no valsts nodevas;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Precizētais noteikumu projekts ir papildināts, nosakot, ka konkrētie noteikumi nosaka ne tikai valsts nodevas par speciālās atļaujas (licences) izsniegšanu un pārreģistrēšanu farmaceitiskajai darbībai apmēru un maksāšanas kārtību, </w:t>
            </w:r>
            <w:r w:rsidR="00000000" w:rsidRPr="00000000" w:rsidDel="00000000">
              <w:rPr>
                <w:u w:val="single"/>
                <w:rtl w:val="0"/>
              </w:rPr>
              <w:t xml:space="preserve">bet arī atvieglojumus un atbrīvojumus</w:t>
            </w:r>
            <w:r w:rsidR="00000000" w:rsidRPr="00000000" w:rsidDel="00000000">
              <w:rPr>
                <w:rtl w:val="0"/>
              </w:rPr>
              <w:t xml:space="preserve"> no valsts nodevas, kā tas izriet no Farmācijas likumā iekļautā deleģējuma Ministru kabinetam. Taču pašā noteikumu projektā nav iekļauti nedz atvieglojumi, nedz atbrīvojumi no konkrētās valsts nodevas. Lūdzam ņemt šo vērā un veikt attiecīgus papildinājumus.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apmēru, kādā maksājama valsts nodeva par speciālās atļaujas (licences) izsniegšanu un pārreģistrēšanu farmaceitiskajai darbībai, un kārtību, kādā tā iekasējama, kā arī atvieglojumus un atbrīvojumus no valsts nodevas;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Licenci vai pārreģistrētu licenci izsniedz vai nosūta pa pastu pēc tam, kad iesniedzējs vai licences turētājs veicis samaksu par dokumentu ekspertīzi un atbilstības novērtēšanas pārbaudi saskaņā ar aģentūras maksas pakalpojumu cenrādi, kā arī samaksājis valsts nodevu par licences izsniegšanu.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šobrīd konkrētie noteikumi tiek tikai pārizdoti, savukārt jaunā licencēšanas kārtība vēl tiks diskutēta ar nozari (izriet no  Veselības ministrijas telefoniski sniegtās informācijas), lūdzam, strādājot pie jaunās licencēšanas kārtības, ņemt vērā, ka valsts nodeva ir politikas veidošanas instruments, un tās mērķis ir personas darbību regulēšana (kontrolēšana, veicināšana, ierobežošana).Turklāt sniegtais pakalpojums vai nodrošinājums netiek sadalīts un par katru veikto darbību netiek kasēti dažāda veida maksājumi. Kā izriet no šobrīd spēkā esošiem noteikumiem un šī noteikumu projekta, licenci izsniedz pēc tam, kad iesniedzējs vai licences turētājs veicis samaksu par dokumentu ekspertīzi un atbilstības novērtēšanas pārbaudi saskaņā ar aģentūras maksas pakalpojumu cenrādi, kā arī samaksājis valsts nodevu par licences izsniegšanu.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Sniegtais priekšlikums tiks ņemts vērā, izstrādājot jauno farmaceitiskās darbības licencēšanas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šiem noteikumiem tiek pārņemta Farmācijas likuma 5.panta 19.</w:t>
            </w:r>
            <w:r w:rsidR="00000000" w:rsidRPr="00000000" w:rsidDel="00000000">
              <w:rPr>
                <w:vertAlign w:val="superscript"/>
                <w:rtl w:val="0"/>
              </w:rPr>
              <w:t xml:space="preserve">1</w:t>
            </w:r>
            <w:r w:rsidR="00000000" w:rsidRPr="00000000" w:rsidDel="00000000">
              <w:rPr>
                <w:rtl w:val="0"/>
              </w:rPr>
              <w:t xml:space="preserve"> punkta pilnvarojuma daļa - Ministru kabinets nosaka apmēru, kādā maksājama valsts nodeva par speciālās atļaujas (licences) izsniegšanu un pārreģistrēšanu farmaceitiskajai darbībai un kārtību, kādā tā iekasējama. Farmācijas likuma 5.panta 19.</w:t>
            </w:r>
            <w:r w:rsidR="00000000" w:rsidRPr="00000000" w:rsidDel="00000000">
              <w:rPr>
                <w:vertAlign w:val="superscript"/>
                <w:rtl w:val="0"/>
              </w:rPr>
              <w:t xml:space="preserve">1</w:t>
            </w:r>
            <w:r w:rsidR="00000000" w:rsidRPr="00000000" w:rsidDel="00000000">
              <w:rPr>
                <w:rtl w:val="0"/>
              </w:rPr>
              <w:t xml:space="preserve"> punktā norādītā pilnvarojuma daļa par atvieglojumiem un atbrīvojumiem no valsts nodevas tiks noteikta ar Veselības ministrijas izstrādē esošajiem Farmaceitiskās darbības licencēšanas noteikumiem 24-TA-2984.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Licenci vai pārreģistrētu licenci izsniedz vai nosūta pa pastu pēc tam, kad iesniedzējs vai licences turētājs veicis samaksu par dokumentu ekspertīzi un atbilstības novērtēšanas pārbaudi saskaņā ar aģentūras maksas pakalpojumu cenrādi, kā arī samaksājis valsts nodevu par licences izsniegšanu.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Noteikumi stājas spēkā ar 2025. gada 1. jūliju.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Veselības ministrijas precizētais Ministru kabineta noteikumu projekts “Farmaceitiskās darbības licencēšanas noteikumi” (turpmāk – projekts) un par to izsakām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90. punktu par noteikumu spēkā stāšanos 2025. gada 1. jūlijā nepieciešams izvērtēt un piedāvājam to svītrot. Vēršam uzmanību, ka Oficiālo publikāciju un tiesiskās informācijas likuma 7. panta otrā daļa paredz, ka Ministru kabineta noteikumi, instrukcijas vai ieteikumi stājas spēkā nākamajā dienā pēc to izsludināšanas, ja pašā tiesību aktā nav noteikts cits tā spēkā stāšanās termiņš. Savukārt Oficiālo publikāciju un tiesiskās informācijas likuma 9. panta ceturtā daļa paredz, ka normatīvajam aktam vai tā daļai nav atpakaļejoša spēka, izņemot likumā īpaši paredzētus gadījumus. Ņemot vērā, ka tuvākā Ministru kabineta sēde būs 2025. gada 1. jūlijā, projektā nevar paredzēt Ministru kabineta noteikumu spēkā stāšanos ar atpakaļejošu datumu, jo šādam projekta 90. punktam var veidoties pretruna ar Oficiālo publikāciju un tiesiskās informācijas likumā noteikto, un tā atbilstoši normatīvo aktu hierarhijai nav pieļaujama. Savukārt projekta anotācijā piedāvājam norādīt, ka projekts stāsies spēkā parastajā kārtībā, jo Farmācijas likuma pārejas noteikumu 37.punkts nerada tiesības jaunajam regulējumam piemērot atpakaļejošu spēku.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svītrojot par noteikumu spēkā stāšanos 2025. gada 1. jūlijā.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Noteikumi stājas spēkā ar 2025. gada 1. jūliju.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SPECIĀLA ATĻAUJA (LICENCE) CILVĒKIEM PAREDZĒTO ZĀĻU IZPLATĪŠANAI VAIRUMTIRDZNIECĪBĀ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Ministru kabineta 2009. gada 3. februāra noteikumiem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juridiskās tehnikas prasības arī attiecībā uz to, ka, nepieciešamības gadījumā, saīsinājumu piesaka pirmajā vietā juridiskajā tekstā, kur lietots attiecīgais normatīvā akta nosaukums, tādā veidā izvairoties no vispārinātām atsaucēm uz normatīvajiem aktiem. Piemēram, Eiropas Parlamenta un Padomes 2004. gada 31. marta Regula (EK) Nr. 726/2004, ar ko nosaka cilvēkiem paredzēto un veterināro zāļu reģistrēšanas un uzraudzības Kopienas procedūras un izveido Eiropas Zāļu aģentūru (turpmāk - Regula 726/2004).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SPECIĀLA ATĻAUJA (LICENCE) CILVĒKIEM PAREDZĒTO ZĀĻU IZPLATĪŠANAI VAIRUMTIRDZNIECĪBĀ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veikt nepieciešamos precizējumus anotācijas 5.4. apakšsadaļas 1. tabula, sniedzot pilnīgu informāciju par projekta atbilstību Eiropas Savienības tiesību aktiem. Vēršam uzmanību, ka, piemēram, ar otro informatīvo atsauci pārņemts arī Eiropas Parlamenta un Padomes 2011.gada 8.jūnija Direktīvas 2011/62/ES, ar ko groza Direktīvu 2001/83/EK par Kopienas kodeksu, kas attiecas uz cilvēkiem paredzētām zālēm, attiecībā uz to, kā novērst viltotu zāļu nokļūšanu legālas piegādes ķēdē (turpmāk - Direktīva 2011/62) 2. panta 3. punkts. Tāpat iesakām izvērtēt, vai arī citas vienības, piemēram, 1. panta 4. punkts netiek pārņemts projektā, piemēram, ar tā 80.7.apakšpunktu.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precizēt skaidrojumu par Eiropas Parlamenta un Padomes 2001.gada 6.novembra Direktīvas 2001/83/EK par Kopienas kodeksu, kas attiecas uz cilvēkiem paredzētām zālēm (turpmāk - Direktīva 2001/83) 42. pants 2. punktā paredzētās rīcības brīvības neizmantošanu un atbilstošajā anotācijas 5.4. apakšsadaļas ailē norādīt pamatojumu rīcības brīvības neizmantošanai.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papildināt skaidrojumus anotācijas 5.4. apakšsadaļā ar informāciju par to, kā ir nodrošināta Direktīvas 2011/62 pilnīga pārņemšana, analoģiski kā tas skaidrots attiecībā uz Direktīvas 2001/83 pārņemšanu.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5.4. apakšsadaļas 1. tabula, to papildinot un sniedzot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2011.gada 8.jūnija Direktīvas 2011/62/ES, ar ko groza Direktīvu 2001/83/EK par Kopienas kodeksu, kas attiecas uz cilvēkiem paredzētām zālēm, attiecībā uz to, kā novērst viltotu zāļu nokļūšanu legālas piegādes ķēdē (turpmāk - Direktīva 2011/62) 2. panta 3. punkta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Direktīvas 2011/62 1. panta 4. punkta pārņemšanu  Noteikumu projekta 80.7.apakšpunktā.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precizēts skaidrojums par Eiropas Parlamenta un Padomes 2001.gada 6.novembra Direktīvas 2001/83/EK par Kopienas kodeksu, kas attiecas uz cilvēkiem paredzētām zālēm (turpmāk - Direktīva 2001/83) 42. pants 2. punktā paredzētās rīcības brīvības izmantošanu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anotācijas 5.4. apakšsadaļā, sniedzot informāciju par to, kā ir nodrošināta Direktīvas 2001/83 un Direktīvas 2011/62 pilnīga pārņemšana.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25-TA-1407</w:t>
    </w:r>
    <w:r>
      <w:br/>
    </w:r>
    <w:r w:rsidR="00000000" w:rsidRPr="00000000" w:rsidDel="00000000">
      <w:rPr>
        <w:rtl w:val="0"/>
      </w:rPr>
      <w:t xml:space="preserve">30.06.2025. 18.27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25-TA-1407</w:t>
    </w:r>
    <w:r>
      <w:br/>
    </w:r>
    <w:r w:rsidR="00000000" w:rsidRPr="00000000" w:rsidDel="00000000">
      <w:rPr>
        <w:rtl w:val="0"/>
      </w:rPr>
      <w:t xml:space="preserve">30.06.2025. 18.27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Izziņa_25-TA-1407.docx</dc:title>
</cp:coreProperties>
</file>

<file path=docProps/custom.xml><?xml version="1.0" encoding="utf-8"?>
<Properties xmlns="http://schemas.openxmlformats.org/officeDocument/2006/custom-properties" xmlns:vt="http://schemas.openxmlformats.org/officeDocument/2006/docPropsVTypes"/>
</file>