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</w:p>
    <w:p w:rsidR="004437B8" w:rsidRPr="00EA7093" w:rsidRDefault="004437B8" w:rsidP="004437B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4437B8" w:rsidRPr="00EA7093" w:rsidRDefault="004437B8" w:rsidP="004437B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CE3C6D">
              <w:rPr>
                <w:rFonts w:ascii="Verdana" w:hAnsi="Verdana"/>
              </w:rPr>
              <w:t>Aizsardzības ministrija/ Nacionālie bruņotie spēki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4437B8" w:rsidRPr="00EA7093" w:rsidRDefault="004437B8" w:rsidP="004437B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82"/>
        <w:gridCol w:w="1408"/>
        <w:gridCol w:w="4863"/>
        <w:gridCol w:w="1488"/>
        <w:gridCol w:w="9"/>
      </w:tblGrid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D84670" w:rsidRPr="00CA0470">
              <w:rPr>
                <w:rFonts w:ascii="Verdana" w:hAnsi="Verdana"/>
              </w:rPr>
              <w:t xml:space="preserve">"Kara flotei – 100" un </w:t>
            </w:r>
            <w:proofErr w:type="spellStart"/>
            <w:r w:rsidR="00D84670" w:rsidRPr="00CA0470">
              <w:rPr>
                <w:rFonts w:ascii="Verdana" w:hAnsi="Verdana"/>
              </w:rPr>
              <w:t>Keiz</w:t>
            </w:r>
            <w:r w:rsidR="00D84670">
              <w:rPr>
                <w:rFonts w:ascii="Verdana" w:hAnsi="Verdana"/>
              </w:rPr>
              <w:t>erlinga</w:t>
            </w:r>
            <w:proofErr w:type="spellEnd"/>
            <w:r w:rsidR="00D84670">
              <w:rPr>
                <w:rFonts w:ascii="Verdana" w:hAnsi="Verdana"/>
              </w:rPr>
              <w:t xml:space="preserve"> ballei veltīti pasākumi (2019)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CE3C6D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CA0470" w:rsidRPr="00CA0470">
              <w:rPr>
                <w:rFonts w:ascii="Verdana" w:hAnsi="Verdana"/>
              </w:rPr>
              <w:t xml:space="preserve">"Kara flotei – 100" un </w:t>
            </w:r>
            <w:proofErr w:type="spellStart"/>
            <w:r w:rsidR="00CA0470" w:rsidRPr="00CA0470">
              <w:rPr>
                <w:rFonts w:ascii="Verdana" w:hAnsi="Verdana"/>
              </w:rPr>
              <w:t>Keizerlinga</w:t>
            </w:r>
            <w:proofErr w:type="spellEnd"/>
            <w:r w:rsidR="00CA0470" w:rsidRPr="00CA0470">
              <w:rPr>
                <w:rFonts w:ascii="Verdana" w:hAnsi="Verdana"/>
              </w:rPr>
              <w:t xml:space="preserve"> ballei veltīti pasākumi. </w:t>
            </w:r>
          </w:p>
          <w:p w:rsidR="00CE3C6D" w:rsidRPr="00EA7598" w:rsidRDefault="005C72CA" w:rsidP="00CE3C6D">
            <w:pPr>
              <w:rPr>
                <w:rFonts w:ascii="Verdana" w:eastAsia="Calibri" w:hAnsi="Verdana"/>
              </w:rPr>
            </w:pPr>
            <w:r w:rsidRPr="00EA7598">
              <w:rPr>
                <w:rFonts w:ascii="Verdana" w:eastAsia="Calibri" w:hAnsi="Verdana"/>
              </w:rPr>
              <w:t xml:space="preserve">Notika </w:t>
            </w:r>
            <w:r w:rsidR="00CE3C6D" w:rsidRPr="00EA7598">
              <w:rPr>
                <w:rFonts w:ascii="Verdana" w:eastAsia="Calibri" w:hAnsi="Verdana"/>
              </w:rPr>
              <w:t xml:space="preserve">Kara flotes izstādes uz kuģiem </w:t>
            </w:r>
            <w:r w:rsidRPr="00EA7598">
              <w:rPr>
                <w:rFonts w:ascii="Verdana" w:eastAsia="Calibri" w:hAnsi="Verdana"/>
              </w:rPr>
              <w:t xml:space="preserve">Latvijas </w:t>
            </w:r>
            <w:r w:rsidR="00CE3C6D" w:rsidRPr="00EA7598">
              <w:rPr>
                <w:rFonts w:ascii="Verdana" w:eastAsia="Calibri" w:hAnsi="Verdana"/>
              </w:rPr>
              <w:t>ostās</w:t>
            </w:r>
            <w:r w:rsidR="00E46CC3">
              <w:rPr>
                <w:rFonts w:ascii="Verdana" w:eastAsia="Calibri" w:hAnsi="Verdana"/>
              </w:rPr>
              <w:t xml:space="preserve">, NBS Jūras spēku (JS) kuģiem piedaloties </w:t>
            </w:r>
            <w:r w:rsidR="00CE3C6D" w:rsidRPr="00EA7598">
              <w:rPr>
                <w:rFonts w:ascii="Verdana" w:eastAsia="Calibri" w:hAnsi="Verdana"/>
              </w:rPr>
              <w:t>Jūras/Zvejnieku</w:t>
            </w:r>
            <w:r w:rsidRPr="00EA7598">
              <w:rPr>
                <w:rFonts w:ascii="Verdana" w:eastAsia="Calibri" w:hAnsi="Verdana"/>
              </w:rPr>
              <w:t xml:space="preserve"> svētku pasākumos</w:t>
            </w:r>
            <w:r w:rsidR="00CE3C6D" w:rsidRPr="00EA7598">
              <w:rPr>
                <w:rFonts w:ascii="Verdana" w:eastAsia="Calibri" w:hAnsi="Verdana"/>
              </w:rPr>
              <w:t>.</w:t>
            </w:r>
          </w:p>
          <w:p w:rsidR="00CE3C6D" w:rsidRPr="00EA7598" w:rsidRDefault="00CE3C6D" w:rsidP="00CE3C6D">
            <w:pPr>
              <w:rPr>
                <w:rFonts w:ascii="Verdana" w:eastAsia="Calibri" w:hAnsi="Verdana"/>
              </w:rPr>
            </w:pPr>
            <w:r w:rsidRPr="00EA7598">
              <w:rPr>
                <w:rFonts w:ascii="Verdana" w:eastAsia="Calibri" w:hAnsi="Verdana"/>
              </w:rPr>
              <w:t xml:space="preserve">No </w:t>
            </w:r>
            <w:r w:rsidR="005C72CA" w:rsidRPr="00EA7598">
              <w:rPr>
                <w:rFonts w:ascii="Verdana" w:eastAsia="Calibri" w:hAnsi="Verdana"/>
              </w:rPr>
              <w:t xml:space="preserve">2019.gada </w:t>
            </w:r>
            <w:r w:rsidRPr="00EA7598">
              <w:rPr>
                <w:rFonts w:ascii="Verdana" w:eastAsia="Calibri" w:hAnsi="Verdana"/>
              </w:rPr>
              <w:t xml:space="preserve">9. augusta līdz 11. augustam </w:t>
            </w:r>
            <w:r w:rsidR="005C72CA" w:rsidRPr="00EA7598">
              <w:rPr>
                <w:rFonts w:ascii="Verdana" w:eastAsia="Calibri" w:hAnsi="Verdana"/>
              </w:rPr>
              <w:t xml:space="preserve">notika </w:t>
            </w:r>
            <w:r w:rsidRPr="00EA7598">
              <w:rPr>
                <w:rFonts w:ascii="Verdana" w:eastAsia="Calibri" w:hAnsi="Verdana"/>
              </w:rPr>
              <w:t>Latvijas Kara Flotes galvenie pasākumi Rīgā un Rīgas jūras līcī</w:t>
            </w:r>
            <w:r w:rsidR="005C72CA" w:rsidRPr="00EA7598">
              <w:rPr>
                <w:rFonts w:ascii="Verdana" w:eastAsia="Calibri" w:hAnsi="Verdana"/>
              </w:rPr>
              <w:t>, tostarp sabiedroto valstu un JS kuģu parāde un izstāde apmeklētājiem, kuru aplūkoja ap 2000 interesentu</w:t>
            </w:r>
            <w:r w:rsidR="00E46CC3">
              <w:rPr>
                <w:rFonts w:ascii="Verdana" w:eastAsia="Calibri" w:hAnsi="Verdana"/>
              </w:rPr>
              <w:t>,</w:t>
            </w:r>
            <w:r w:rsidR="005C72CA" w:rsidRPr="00EA7598">
              <w:rPr>
                <w:rFonts w:ascii="Verdana" w:eastAsia="Calibri" w:hAnsi="Verdana"/>
              </w:rPr>
              <w:t xml:space="preserve"> ekumēniskais dievkalpojums un gājien</w:t>
            </w:r>
            <w:r w:rsidR="00E46CC3">
              <w:rPr>
                <w:rFonts w:ascii="Verdana" w:eastAsia="Calibri" w:hAnsi="Verdana"/>
              </w:rPr>
              <w:t>s</w:t>
            </w:r>
            <w:r w:rsidR="005C72CA" w:rsidRPr="00EA7598">
              <w:rPr>
                <w:rFonts w:ascii="Verdana" w:eastAsia="Calibri" w:hAnsi="Verdana"/>
              </w:rPr>
              <w:t xml:space="preserve"> uz Brīvības pieminekli, </w:t>
            </w:r>
            <w:r w:rsidR="00E46CC3">
              <w:rPr>
                <w:rFonts w:ascii="Verdana" w:eastAsia="Calibri" w:hAnsi="Verdana"/>
              </w:rPr>
              <w:t>“</w:t>
            </w:r>
            <w:r w:rsidR="005C72CA" w:rsidRPr="00EA7598">
              <w:rPr>
                <w:rFonts w:ascii="Verdana" w:eastAsia="Calibri" w:hAnsi="Verdana"/>
              </w:rPr>
              <w:t>Kara flotei – 100</w:t>
            </w:r>
            <w:r w:rsidR="00E46CC3">
              <w:rPr>
                <w:rFonts w:ascii="Verdana" w:eastAsia="Calibri" w:hAnsi="Verdana"/>
              </w:rPr>
              <w:t>”</w:t>
            </w:r>
            <w:r w:rsidR="005C72CA" w:rsidRPr="00EA7598">
              <w:rPr>
                <w:rFonts w:ascii="Verdana" w:eastAsia="Calibri" w:hAnsi="Verdana"/>
              </w:rPr>
              <w:t xml:space="preserve"> balle kultūras pilī “Ziemeļblāzma”.</w:t>
            </w:r>
          </w:p>
          <w:p w:rsidR="005C72CA" w:rsidRPr="00EA7598" w:rsidRDefault="005C72CA" w:rsidP="005C72CA">
            <w:pPr>
              <w:rPr>
                <w:rFonts w:ascii="Verdana" w:eastAsia="Calibri" w:hAnsi="Verdana"/>
              </w:rPr>
            </w:pPr>
            <w:r w:rsidRPr="00EA7598">
              <w:rPr>
                <w:rFonts w:ascii="Verdana" w:eastAsia="Calibri" w:hAnsi="Verdana"/>
              </w:rPr>
              <w:t>2019.gada 12 .novembrī notika Latvijas Kara Flotes simtgadei veltītās</w:t>
            </w:r>
            <w:r w:rsidR="00CE3C6D" w:rsidRPr="00EA7598">
              <w:rPr>
                <w:rFonts w:ascii="Verdana" w:eastAsia="Calibri" w:hAnsi="Verdana"/>
              </w:rPr>
              <w:t xml:space="preserve"> grāmatas prezentācija LU</w:t>
            </w:r>
            <w:r w:rsidRPr="00EA7598">
              <w:rPr>
                <w:rFonts w:ascii="Verdana" w:eastAsia="Calibri" w:hAnsi="Verdana"/>
              </w:rPr>
              <w:t xml:space="preserve"> Akadēmiskajā bibliotēkā.</w:t>
            </w:r>
          </w:p>
          <w:p w:rsidR="00CE3C6D" w:rsidRDefault="005C72CA" w:rsidP="00CE3C6D">
            <w:pPr>
              <w:rPr>
                <w:rFonts w:ascii="Verdana" w:eastAsia="Calibri" w:hAnsi="Verdana"/>
              </w:rPr>
            </w:pPr>
            <w:r w:rsidRPr="00EA7598">
              <w:rPr>
                <w:rFonts w:ascii="Verdana" w:eastAsia="Calibri" w:hAnsi="Verdana"/>
              </w:rPr>
              <w:t xml:space="preserve">Tika izveidots </w:t>
            </w:r>
            <w:r w:rsidR="00CE3C6D" w:rsidRPr="00EA7598">
              <w:rPr>
                <w:rFonts w:ascii="Verdana" w:eastAsia="Calibri" w:hAnsi="Verdana"/>
              </w:rPr>
              <w:t>“Kara flotei -100” logo;</w:t>
            </w:r>
            <w:r w:rsidRPr="00EA7598">
              <w:rPr>
                <w:rFonts w:ascii="Verdana" w:eastAsia="Calibri" w:hAnsi="Verdana"/>
              </w:rPr>
              <w:t xml:space="preserve"> </w:t>
            </w:r>
            <w:r w:rsidR="00CE3C6D" w:rsidRPr="00EA7598">
              <w:rPr>
                <w:rFonts w:ascii="Verdana" w:eastAsia="Calibri" w:hAnsi="Verdana"/>
              </w:rPr>
              <w:t xml:space="preserve">“Kara flotei -100” mājaslapa </w:t>
            </w:r>
            <w:proofErr w:type="spellStart"/>
            <w:r w:rsidR="00CE3C6D" w:rsidRPr="00EA7598">
              <w:rPr>
                <w:rFonts w:ascii="Verdana" w:eastAsia="Calibri" w:hAnsi="Verdana"/>
              </w:rPr>
              <w:t>Facebook</w:t>
            </w:r>
            <w:proofErr w:type="spellEnd"/>
            <w:r w:rsidR="00CE3C6D" w:rsidRPr="00EA7598">
              <w:rPr>
                <w:rFonts w:ascii="Verdana" w:eastAsia="Calibri" w:hAnsi="Verdana"/>
              </w:rPr>
              <w:t xml:space="preserve"> sociālajā tīklā, kur tika publicēta informācija par notikušajiem pasākumiem ar mērķi popularizēt šo pasākumus sabiedrībā un informēt par paveikto.</w:t>
            </w:r>
          </w:p>
          <w:p w:rsidR="00002FA0" w:rsidRPr="00B94076" w:rsidRDefault="00002FA0" w:rsidP="00002FA0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Latvijas valsts simtgades svinību mērķi:</w:t>
            </w:r>
          </w:p>
          <w:p w:rsidR="00002FA0" w:rsidRPr="00B94076" w:rsidRDefault="00002FA0" w:rsidP="00002FA0">
            <w:pPr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002FA0" w:rsidRPr="00B94076" w:rsidRDefault="00002FA0" w:rsidP="00002FA0">
            <w:pPr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daudzināt Latvijas cilvēku talantus, izcilību, uzņēmīgumu un sasniegumus;</w:t>
            </w:r>
          </w:p>
          <w:p w:rsidR="00002FA0" w:rsidRPr="00B94076" w:rsidRDefault="00002FA0" w:rsidP="00002FA0">
            <w:pPr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modināt sabiedrībā atbildības ētiku, atbildības uzņemšanos par sevi, savu ģimeni, kopienu un valsti; </w:t>
            </w:r>
          </w:p>
          <w:p w:rsidR="00002FA0" w:rsidRPr="00B94076" w:rsidRDefault="00002FA0" w:rsidP="00002FA0">
            <w:pPr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lastRenderedPageBreak/>
              <w:t>radīt paliekošas 21.</w:t>
            </w:r>
            <w:r>
              <w:rPr>
                <w:rFonts w:ascii="Verdana" w:hAnsi="Verdana" w:cstheme="minorHAnsi"/>
              </w:rPr>
              <w:t> </w:t>
            </w:r>
            <w:r w:rsidRPr="00B94076">
              <w:rPr>
                <w:rFonts w:ascii="Verdana" w:hAnsi="Verdana" w:cstheme="minorHAnsi"/>
              </w:rPr>
              <w:t>gadsimta Latvijas vērtības, simbolus un jaunrades darbus;</w:t>
            </w:r>
          </w:p>
          <w:p w:rsidR="00002FA0" w:rsidRPr="00B94076" w:rsidRDefault="00002FA0" w:rsidP="00002FA0">
            <w:pPr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vēstīt par Latviju kā aktīvu un atbildīgu starptautisko un </w:t>
            </w:r>
            <w:proofErr w:type="spellStart"/>
            <w:r w:rsidRPr="00B94076">
              <w:rPr>
                <w:rFonts w:ascii="Verdana" w:hAnsi="Verdana" w:cstheme="minorHAnsi"/>
              </w:rPr>
              <w:t>starpkultūru</w:t>
            </w:r>
            <w:proofErr w:type="spellEnd"/>
            <w:r w:rsidRPr="00B94076">
              <w:rPr>
                <w:rFonts w:ascii="Verdana" w:hAnsi="Verdana" w:cstheme="minorHAnsi"/>
              </w:rPr>
              <w:t xml:space="preserve"> attiecību veidotāju.</w:t>
            </w:r>
          </w:p>
          <w:p w:rsidR="00002FA0" w:rsidRPr="00B94076" w:rsidRDefault="00002FA0" w:rsidP="00002FA0">
            <w:pPr>
              <w:spacing w:after="0"/>
              <w:rPr>
                <w:rFonts w:ascii="Verdana" w:hAnsi="Verdana" w:cstheme="minorHAnsi"/>
              </w:rPr>
            </w:pPr>
          </w:p>
          <w:p w:rsidR="00002FA0" w:rsidRPr="00B94076" w:rsidRDefault="00002FA0" w:rsidP="00002FA0">
            <w:pPr>
              <w:spacing w:after="0"/>
              <w:rPr>
                <w:rFonts w:ascii="Verdana" w:hAnsi="Verdana" w:cstheme="minorHAnsi"/>
                <w:bCs/>
              </w:rPr>
            </w:pPr>
            <w:r w:rsidRPr="00B94076">
              <w:rPr>
                <w:rFonts w:ascii="Verdana" w:hAnsi="Verdana" w:cstheme="minorHAnsi"/>
              </w:rPr>
              <w:t xml:space="preserve">Šajā sadaļā norādāma </w:t>
            </w:r>
            <w:r w:rsidRPr="00B94076">
              <w:rPr>
                <w:rFonts w:ascii="Verdana" w:hAnsi="Verdana" w:cstheme="minorHAnsi"/>
                <w:bCs/>
              </w:rPr>
              <w:t xml:space="preserve">informācija par konkrētā pasākumu atbilstību kādam no programmas </w:t>
            </w:r>
            <w:proofErr w:type="spellStart"/>
            <w:r w:rsidRPr="00B94076">
              <w:rPr>
                <w:rFonts w:ascii="Verdana" w:hAnsi="Verdana" w:cstheme="minorHAnsi"/>
                <w:bCs/>
              </w:rPr>
              <w:t>virsmērķim</w:t>
            </w:r>
            <w:proofErr w:type="spellEnd"/>
            <w:r w:rsidRPr="00B94076">
              <w:rPr>
                <w:rFonts w:ascii="Verdana" w:hAnsi="Verdana" w:cstheme="minorHAnsi"/>
                <w:bCs/>
              </w:rPr>
              <w:t xml:space="preserve"> pakārtotajiem politikas rezultātiem:</w:t>
            </w:r>
          </w:p>
          <w:p w:rsidR="00002FA0" w:rsidRPr="00B94076" w:rsidRDefault="00002FA0" w:rsidP="00002FA0">
            <w:pPr>
              <w:pStyle w:val="ListParagraph"/>
              <w:numPr>
                <w:ilvl w:val="0"/>
                <w:numId w:val="6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attieksme pret valsti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002FA0" w:rsidRPr="00B94076" w:rsidRDefault="00002FA0" w:rsidP="00002FA0">
            <w:pPr>
              <w:pStyle w:val="ListParagraph"/>
              <w:numPr>
                <w:ilvl w:val="0"/>
                <w:numId w:val="6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zināšanas un izpratne par valsts rašanos un attīstības vēsturi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002FA0" w:rsidRPr="005202A0" w:rsidRDefault="00002FA0" w:rsidP="00002FA0">
            <w:pPr>
              <w:pStyle w:val="ListParagraph"/>
              <w:spacing w:after="0"/>
              <w:rPr>
                <w:sz w:val="24"/>
                <w:szCs w:val="24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lastRenderedPageBreak/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CA4B39" w:rsidRPr="00EA7598" w:rsidRDefault="004437B8" w:rsidP="00CA4B39">
            <w:pPr>
              <w:rPr>
                <w:rFonts w:ascii="Verdana" w:eastAsia="Calibri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CA4B39" w:rsidRPr="00EA7598">
              <w:rPr>
                <w:rFonts w:ascii="Verdana" w:eastAsia="Calibri" w:hAnsi="Verdana"/>
              </w:rPr>
              <w:t xml:space="preserve">Visi Latvijas iedzīvotāji, ārvalstu viesi, tūristi. Latvijas un ārzemju kuģi tika izvietoti Rīgas pasažieru terminālī pie Vanšu tilta, kuģi bija </w:t>
            </w:r>
            <w:r w:rsidR="00540C3E">
              <w:rPr>
                <w:rFonts w:ascii="Verdana" w:eastAsia="Calibri" w:hAnsi="Verdana"/>
              </w:rPr>
              <w:t>atvērti iedzīvotājiem apskatei 9. a</w:t>
            </w:r>
            <w:r w:rsidR="00CA4B39" w:rsidRPr="00EA7598">
              <w:rPr>
                <w:rFonts w:ascii="Verdana" w:eastAsia="Calibri" w:hAnsi="Verdana"/>
              </w:rPr>
              <w:t xml:space="preserve">ugustā kuģus apmeklēja aptuveni 900 iedzīvotāji un 10. augustā vairāk </w:t>
            </w:r>
            <w:r w:rsidR="00E46CC3">
              <w:rPr>
                <w:rFonts w:ascii="Verdana" w:eastAsia="Calibri" w:hAnsi="Verdana"/>
              </w:rPr>
              <w:t>ne</w:t>
            </w:r>
            <w:r w:rsidR="00CA4B39" w:rsidRPr="00EA7598">
              <w:rPr>
                <w:rFonts w:ascii="Verdana" w:eastAsia="Calibri" w:hAnsi="Verdana"/>
              </w:rPr>
              <w:t xml:space="preserve">kā 1000 iedzīvotāju un viesu. Citās Latvijas ostās Jūras un Zvejnieku svētku ietvaros kuģus un izstādi apmeklēja no 200 līdz 600 apmeklētāju. </w:t>
            </w:r>
            <w:r w:rsidR="00540C3E">
              <w:rPr>
                <w:rFonts w:ascii="Verdana" w:eastAsia="Calibri" w:hAnsi="Verdana"/>
              </w:rPr>
              <w:t xml:space="preserve"> G</w:t>
            </w:r>
            <w:r w:rsidR="00CA4B39" w:rsidRPr="00EA7598">
              <w:rPr>
                <w:rFonts w:ascii="Verdana" w:eastAsia="Calibri" w:hAnsi="Verdana"/>
              </w:rPr>
              <w:t>rāmatas atklāšanā piedalījās skolu ja</w:t>
            </w:r>
            <w:r w:rsidR="00540C3E">
              <w:rPr>
                <w:rFonts w:ascii="Verdana" w:eastAsia="Calibri" w:hAnsi="Verdana"/>
              </w:rPr>
              <w:t>unatne, kas iepriekš piedalījās</w:t>
            </w:r>
            <w:r w:rsidR="00CA4B39" w:rsidRPr="00EA7598">
              <w:rPr>
                <w:rFonts w:ascii="Verdana" w:eastAsia="Calibri" w:hAnsi="Verdana"/>
              </w:rPr>
              <w:t xml:space="preserve"> dažādos konkursos saistībā ar jūru un jūrniecību</w:t>
            </w:r>
            <w:r w:rsidR="00540C3E">
              <w:rPr>
                <w:rFonts w:ascii="Verdana" w:eastAsia="Calibri" w:hAnsi="Verdana"/>
              </w:rPr>
              <w:t>, kurus</w:t>
            </w:r>
            <w:r w:rsidR="00CA4B39" w:rsidRPr="00EA7598">
              <w:rPr>
                <w:rFonts w:ascii="Verdana" w:eastAsia="Calibri" w:hAnsi="Verdana"/>
              </w:rPr>
              <w:t xml:space="preserve"> organizēja Salacgrīvas novada dome ar</w:t>
            </w:r>
            <w:r w:rsidR="00CA4B39" w:rsidRPr="00EA7598">
              <w:rPr>
                <w:rFonts w:ascii="Verdana" w:hAnsi="Verdana"/>
              </w:rPr>
              <w:t xml:space="preserve"> SO </w:t>
            </w:r>
            <w:proofErr w:type="spellStart"/>
            <w:r w:rsidR="00CA4B39" w:rsidRPr="00EA7598">
              <w:rPr>
                <w:rFonts w:ascii="Verdana" w:eastAsia="Calibri" w:hAnsi="Verdana"/>
              </w:rPr>
              <w:t>Bibl</w:t>
            </w:r>
            <w:r w:rsidR="00540C3E">
              <w:rPr>
                <w:rFonts w:ascii="Verdana" w:eastAsia="Calibri" w:hAnsi="Verdana"/>
              </w:rPr>
              <w:t>iokuģis</w:t>
            </w:r>
            <w:proofErr w:type="spellEnd"/>
            <w:r w:rsidR="00540C3E">
              <w:rPr>
                <w:rFonts w:ascii="Verdana" w:eastAsia="Calibri" w:hAnsi="Verdana"/>
              </w:rPr>
              <w:t xml:space="preserve"> ''Krišjānis Valdemārs'',</w:t>
            </w:r>
            <w:r w:rsidR="00CA4B39" w:rsidRPr="00EA7598">
              <w:rPr>
                <w:rFonts w:ascii="Verdana" w:eastAsia="Calibri" w:hAnsi="Verdana"/>
              </w:rPr>
              <w:t xml:space="preserve"> un aicinātie viesi.</w:t>
            </w:r>
          </w:p>
          <w:p w:rsidR="004437B8" w:rsidRDefault="00CA4B39" w:rsidP="00CA4B39">
            <w:pPr>
              <w:rPr>
                <w:rFonts w:ascii="Verdana" w:eastAsia="Calibri" w:hAnsi="Verdana"/>
              </w:rPr>
            </w:pPr>
            <w:r w:rsidRPr="00EA7598">
              <w:rPr>
                <w:rFonts w:ascii="Verdana" w:eastAsia="Calibri" w:hAnsi="Verdana"/>
              </w:rPr>
              <w:t>Svētku pasākumi bija redzami Latvijas TV, presē</w:t>
            </w:r>
            <w:r w:rsidR="00540C3E">
              <w:rPr>
                <w:rFonts w:ascii="Verdana" w:eastAsia="Calibri" w:hAnsi="Verdana"/>
              </w:rPr>
              <w:t xml:space="preserve"> un “Kara flotei -100” mājaslapā</w:t>
            </w:r>
            <w:r w:rsidRPr="00EA7598">
              <w:rPr>
                <w:rFonts w:ascii="Verdana" w:eastAsia="Calibri" w:hAnsi="Verdana"/>
              </w:rPr>
              <w:t xml:space="preserve"> </w:t>
            </w:r>
            <w:proofErr w:type="spellStart"/>
            <w:r w:rsidRPr="00EA7598">
              <w:rPr>
                <w:rFonts w:ascii="Verdana" w:eastAsia="Calibri" w:hAnsi="Verdana"/>
              </w:rPr>
              <w:t>Facebook</w:t>
            </w:r>
            <w:proofErr w:type="spellEnd"/>
            <w:r w:rsidRPr="00EA7598">
              <w:rPr>
                <w:rFonts w:ascii="Verdana" w:eastAsia="Calibri" w:hAnsi="Verdana"/>
              </w:rPr>
              <w:t xml:space="preserve"> sociālajā tīklā.</w:t>
            </w:r>
          </w:p>
          <w:p w:rsidR="00B47695" w:rsidRPr="00B94076" w:rsidRDefault="00B47695" w:rsidP="00B47695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</w:rPr>
              <w:t>M</w:t>
            </w:r>
            <w:r w:rsidRPr="00B94076">
              <w:rPr>
                <w:rFonts w:ascii="Verdana" w:hAnsi="Verdana" w:cstheme="minorHAnsi"/>
                <w:bCs/>
              </w:rPr>
              <w:t>ērķauditorijas kategorijas, kas atbilst Latvijas simtgades svinību plānošanas dokumentos definētajām:</w:t>
            </w:r>
          </w:p>
          <w:p w:rsidR="00B47695" w:rsidRPr="00B94076" w:rsidRDefault="00B47695" w:rsidP="00B47695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:rsidR="00B47695" w:rsidRPr="00B94076" w:rsidRDefault="00B47695" w:rsidP="00B47695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:rsidR="00B47695" w:rsidRPr="00B94076" w:rsidRDefault="00B47695" w:rsidP="00B47695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:rsidR="00B47695" w:rsidRPr="00B94076" w:rsidRDefault="00B47695" w:rsidP="00B47695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:rsidR="00B47695" w:rsidRPr="00B94076" w:rsidRDefault="00B47695" w:rsidP="00B47695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:rsidR="00B47695" w:rsidRPr="00B94076" w:rsidRDefault="00B47695" w:rsidP="00B47695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cilvēki ar īpašām vajadzībām;</w:t>
            </w:r>
          </w:p>
          <w:p w:rsidR="00B47695" w:rsidRPr="00B47695" w:rsidRDefault="00B47695" w:rsidP="00B47695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</w:t>
            </w:r>
            <w:r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.</w:t>
            </w:r>
          </w:p>
          <w:p w:rsidR="00000E39" w:rsidRPr="00EA7598" w:rsidRDefault="00000E39" w:rsidP="00CA4B39">
            <w:pPr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CA4B39" w:rsidRDefault="00E55A1F" w:rsidP="00CA4B39">
            <w:pPr>
              <w:rPr>
                <w:rFonts w:ascii="Verdana" w:eastAsia="Calibri" w:hAnsi="Verdana"/>
              </w:rPr>
            </w:pPr>
            <w:r w:rsidRPr="00EA7598">
              <w:rPr>
                <w:rFonts w:ascii="Verdana" w:hAnsi="Verdana"/>
              </w:rPr>
              <w:t xml:space="preserve">Pasākumi īstenoja </w:t>
            </w:r>
            <w:r w:rsidRPr="00EA7598">
              <w:rPr>
                <w:rFonts w:ascii="Verdana" w:eastAsia="Calibri" w:hAnsi="Verdana"/>
              </w:rPr>
              <w:t>patriotisma celšanu</w:t>
            </w:r>
            <w:r w:rsidR="00CA4B39" w:rsidRPr="00EA7598">
              <w:rPr>
                <w:rFonts w:ascii="Verdana" w:eastAsia="Calibri" w:hAnsi="Verdana"/>
              </w:rPr>
              <w:t xml:space="preserve"> sabiedrībā, karavīr</w:t>
            </w:r>
            <w:r w:rsidRPr="00EA7598">
              <w:rPr>
                <w:rFonts w:ascii="Verdana" w:eastAsia="Calibri" w:hAnsi="Verdana"/>
              </w:rPr>
              <w:t>u tradīciju un vērtību izcelšanu</w:t>
            </w:r>
            <w:r w:rsidR="00CA4B39" w:rsidRPr="00EA7598">
              <w:rPr>
                <w:rFonts w:ascii="Verdana" w:eastAsia="Calibri" w:hAnsi="Verdana"/>
              </w:rPr>
              <w:t>, mi</w:t>
            </w:r>
            <w:r w:rsidRPr="00EA7598">
              <w:rPr>
                <w:rFonts w:ascii="Verdana" w:eastAsia="Calibri" w:hAnsi="Verdana"/>
              </w:rPr>
              <w:t>litārās vēstures aktualizēšanu</w:t>
            </w:r>
            <w:r w:rsidR="00CA4B39" w:rsidRPr="00EA7598">
              <w:rPr>
                <w:rFonts w:ascii="Verdana" w:eastAsia="Calibri" w:hAnsi="Verdana"/>
              </w:rPr>
              <w:t xml:space="preserve">, </w:t>
            </w:r>
            <w:r w:rsidRPr="00EA7598">
              <w:rPr>
                <w:rFonts w:ascii="Verdana" w:eastAsia="Calibri" w:hAnsi="Verdana"/>
              </w:rPr>
              <w:t xml:space="preserve">veicināja sadarbību </w:t>
            </w:r>
            <w:r w:rsidR="00CA4B39" w:rsidRPr="00EA7598">
              <w:rPr>
                <w:rFonts w:ascii="Verdana" w:eastAsia="Calibri" w:hAnsi="Verdana"/>
              </w:rPr>
              <w:t xml:space="preserve">ar ārzemju partneriem Baltijas jūras reģionā. </w:t>
            </w:r>
          </w:p>
          <w:p w:rsidR="00C01AFF" w:rsidRPr="00B94076" w:rsidRDefault="00C01AFF" w:rsidP="00C01AFF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K</w:t>
            </w:r>
            <w:r w:rsidRPr="00B94076">
              <w:rPr>
                <w:rFonts w:ascii="Verdana" w:hAnsi="Verdana" w:cstheme="minorHAnsi"/>
              </w:rPr>
              <w:t>ategorijas, pret kurām savus rezultātus kartē/grupē pārskatu iesniedzēji:</w:t>
            </w:r>
          </w:p>
          <w:p w:rsidR="00C01AFF" w:rsidRPr="00B94076" w:rsidRDefault="00C01AFF" w:rsidP="00C01AFF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radītas jaunas zināšanas, priekšstati un izpratne par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 Kara floti – NBS Jūras spēkiem</w:t>
            </w: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;</w:t>
            </w:r>
          </w:p>
          <w:p w:rsidR="00C01AFF" w:rsidRPr="00B94076" w:rsidRDefault="00C01AFF" w:rsidP="00C01AFF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attīstīta piederības sajūta Latvijas valstij un dzīves vietai; </w:t>
            </w:r>
          </w:p>
          <w:p w:rsidR="00C01AFF" w:rsidRPr="00B94076" w:rsidRDefault="00C01AFF" w:rsidP="00C01AFF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attīstīta vienotības apziņa ar savu tautu, kopienu;</w:t>
            </w:r>
          </w:p>
          <w:p w:rsidR="00C01AFF" w:rsidRPr="00B94076" w:rsidRDefault="00C01AFF" w:rsidP="00C01AFF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lastRenderedPageBreak/>
              <w:t>nostiprināts lepnums par Latvijas valsti;</w:t>
            </w:r>
          </w:p>
          <w:p w:rsidR="00C01AFF" w:rsidRPr="00B94076" w:rsidRDefault="00C01AFF" w:rsidP="00C01AFF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nostiprināta drošības sajūta Latvijā;</w:t>
            </w:r>
          </w:p>
          <w:p w:rsidR="00C01AFF" w:rsidRPr="00B94076" w:rsidRDefault="00C01AFF" w:rsidP="00C01AFF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 jauna kultūras pieredze un emocijas;</w:t>
            </w:r>
          </w:p>
          <w:p w:rsidR="00C01AFF" w:rsidRPr="00B94076" w:rsidRDefault="00C01AFF" w:rsidP="00C01AFF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aktualizēts un/vai radīts jauns (tostarp digitāls) mantojums;</w:t>
            </w:r>
          </w:p>
          <w:p w:rsidR="00C01AFF" w:rsidRPr="00B94076" w:rsidRDefault="00C01AFF" w:rsidP="00C01AFF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 jauna sociālo mediju vai cita komunikācijas platforma;</w:t>
            </w:r>
          </w:p>
          <w:p w:rsidR="00C01AFF" w:rsidRPr="00C01AFF" w:rsidRDefault="00C01AFF" w:rsidP="00CA4B39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ieguldījums valsts tēla popularizēšanā un atpazīstamības veicināšanā ārvalstīs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.</w:t>
            </w:r>
            <w:bookmarkStart w:id="0" w:name="_GoBack"/>
            <w:bookmarkEnd w:id="0"/>
          </w:p>
          <w:p w:rsidR="00002FA0" w:rsidRPr="00EA7598" w:rsidRDefault="00002FA0" w:rsidP="00CA4B39">
            <w:pPr>
              <w:rPr>
                <w:rFonts w:ascii="Verdana" w:eastAsia="Calibri" w:hAnsi="Verdana"/>
              </w:rPr>
            </w:pPr>
          </w:p>
          <w:p w:rsidR="004437B8" w:rsidRPr="00B94076" w:rsidRDefault="004437B8" w:rsidP="002B7C10">
            <w:pPr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4437B8" w:rsidRPr="00940E4B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4437B8" w:rsidRPr="00B94076" w:rsidRDefault="0080321A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53 430 EUR</w:t>
            </w:r>
          </w:p>
        </w:tc>
      </w:tr>
    </w:tbl>
    <w:p w:rsidR="000256F0" w:rsidRDefault="000256F0"/>
    <w:sectPr w:rsidR="0002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D38CD"/>
    <w:multiLevelType w:val="hybridMultilevel"/>
    <w:tmpl w:val="D3D056FA"/>
    <w:lvl w:ilvl="0" w:tplc="34786FE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9342D"/>
    <w:multiLevelType w:val="hybridMultilevel"/>
    <w:tmpl w:val="B2F8715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6F404A"/>
    <w:multiLevelType w:val="hybridMultilevel"/>
    <w:tmpl w:val="43EC3E8C"/>
    <w:lvl w:ilvl="0" w:tplc="34786FE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B8"/>
    <w:rsid w:val="00000E39"/>
    <w:rsid w:val="00002FA0"/>
    <w:rsid w:val="000256F0"/>
    <w:rsid w:val="00093C72"/>
    <w:rsid w:val="004437B8"/>
    <w:rsid w:val="005202A0"/>
    <w:rsid w:val="005264CB"/>
    <w:rsid w:val="00540C3E"/>
    <w:rsid w:val="005C72CA"/>
    <w:rsid w:val="0080321A"/>
    <w:rsid w:val="00811C40"/>
    <w:rsid w:val="00B47695"/>
    <w:rsid w:val="00C01AFF"/>
    <w:rsid w:val="00CA0470"/>
    <w:rsid w:val="00CA4B39"/>
    <w:rsid w:val="00CE3C6D"/>
    <w:rsid w:val="00D84670"/>
    <w:rsid w:val="00E46CC3"/>
    <w:rsid w:val="00E55A1F"/>
    <w:rsid w:val="00EA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6B059"/>
  <w15:chartTrackingRefBased/>
  <w15:docId w15:val="{3BC2372B-82EE-432F-98EC-7ED0971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7B8"/>
    <w:pPr>
      <w:spacing w:after="120" w:line="240" w:lineRule="auto"/>
      <w:jc w:val="both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4437B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4437B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443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Zaiga Dūmiņa</dc:creator>
  <cp:keywords/>
  <dc:description/>
  <cp:lastModifiedBy>Zaiga Dūmiņa</cp:lastModifiedBy>
  <cp:revision>18</cp:revision>
  <dcterms:created xsi:type="dcterms:W3CDTF">2021-01-29T14:54:00Z</dcterms:created>
  <dcterms:modified xsi:type="dcterms:W3CDTF">2021-02-02T11:38:00Z</dcterms:modified>
</cp:coreProperties>
</file>