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8B1" w:rsidRPr="005A410A" w:rsidRDefault="00B558B1" w:rsidP="00B558B1">
      <w:pPr>
        <w:spacing w:after="0"/>
        <w:jc w:val="center"/>
        <w:rPr>
          <w:rFonts w:ascii="Times New Roman" w:eastAsia="Calibri" w:hAnsi="Times New Roman" w:cs="Times New Roman"/>
          <w:b/>
          <w:bCs/>
          <w:color w:val="000000"/>
          <w:sz w:val="24"/>
          <w:szCs w:val="24"/>
          <w:lang w:val="en-AU"/>
        </w:rPr>
      </w:pPr>
      <w:bookmarkStart w:id="0" w:name="_GoBack"/>
      <w:bookmarkEnd w:id="0"/>
      <w:proofErr w:type="spellStart"/>
      <w:r w:rsidRPr="005A410A">
        <w:rPr>
          <w:rFonts w:ascii="Times New Roman" w:eastAsia="Calibri" w:hAnsi="Times New Roman" w:cs="Times New Roman"/>
          <w:b/>
          <w:bCs/>
          <w:color w:val="000000"/>
          <w:sz w:val="24"/>
          <w:szCs w:val="24"/>
          <w:lang w:val="en-AU"/>
        </w:rPr>
        <w:t>Pārskats</w:t>
      </w:r>
      <w:proofErr w:type="spellEnd"/>
      <w:r w:rsidRPr="005A410A">
        <w:rPr>
          <w:rFonts w:ascii="Times New Roman" w:eastAsia="Calibri" w:hAnsi="Times New Roman" w:cs="Times New Roman"/>
          <w:b/>
          <w:bCs/>
          <w:color w:val="000000"/>
          <w:sz w:val="24"/>
          <w:szCs w:val="24"/>
          <w:lang w:val="en-AU"/>
        </w:rPr>
        <w:t xml:space="preserve"> </w:t>
      </w:r>
      <w:proofErr w:type="spellStart"/>
      <w:r w:rsidRPr="005A410A">
        <w:rPr>
          <w:rFonts w:ascii="Times New Roman" w:eastAsia="Calibri" w:hAnsi="Times New Roman" w:cs="Times New Roman"/>
          <w:b/>
          <w:bCs/>
          <w:color w:val="000000"/>
          <w:sz w:val="24"/>
          <w:szCs w:val="24"/>
          <w:lang w:val="en-AU"/>
        </w:rPr>
        <w:t>pašfinansētajiem</w:t>
      </w:r>
      <w:proofErr w:type="spellEnd"/>
      <w:r w:rsidRPr="005A410A">
        <w:rPr>
          <w:rFonts w:ascii="Times New Roman" w:eastAsia="Calibri" w:hAnsi="Times New Roman" w:cs="Times New Roman"/>
          <w:b/>
          <w:bCs/>
          <w:color w:val="000000"/>
          <w:sz w:val="24"/>
          <w:szCs w:val="24"/>
          <w:lang w:val="en-AU"/>
        </w:rPr>
        <w:t xml:space="preserve"> Latvijas </w:t>
      </w:r>
      <w:proofErr w:type="spellStart"/>
      <w:r w:rsidRPr="005A410A">
        <w:rPr>
          <w:rFonts w:ascii="Times New Roman" w:eastAsia="Calibri" w:hAnsi="Times New Roman" w:cs="Times New Roman"/>
          <w:b/>
          <w:bCs/>
          <w:color w:val="000000"/>
          <w:sz w:val="24"/>
          <w:szCs w:val="24"/>
          <w:lang w:val="en-AU"/>
        </w:rPr>
        <w:t>valsts</w:t>
      </w:r>
      <w:proofErr w:type="spellEnd"/>
      <w:r w:rsidRPr="005A410A">
        <w:rPr>
          <w:rFonts w:ascii="Times New Roman" w:eastAsia="Calibri" w:hAnsi="Times New Roman" w:cs="Times New Roman"/>
          <w:b/>
          <w:bCs/>
          <w:color w:val="000000"/>
          <w:sz w:val="24"/>
          <w:szCs w:val="24"/>
          <w:lang w:val="en-AU"/>
        </w:rPr>
        <w:t xml:space="preserve"> </w:t>
      </w:r>
      <w:proofErr w:type="spellStart"/>
      <w:r w:rsidRPr="005A410A">
        <w:rPr>
          <w:rFonts w:ascii="Times New Roman" w:eastAsia="Calibri" w:hAnsi="Times New Roman" w:cs="Times New Roman"/>
          <w:b/>
          <w:bCs/>
          <w:color w:val="000000"/>
          <w:sz w:val="24"/>
          <w:szCs w:val="24"/>
          <w:lang w:val="en-AU"/>
        </w:rPr>
        <w:t>simtgadei</w:t>
      </w:r>
      <w:proofErr w:type="spellEnd"/>
      <w:r w:rsidRPr="005A410A">
        <w:rPr>
          <w:rFonts w:ascii="Times New Roman" w:eastAsia="Calibri" w:hAnsi="Times New Roman" w:cs="Times New Roman"/>
          <w:b/>
          <w:bCs/>
          <w:color w:val="000000"/>
          <w:sz w:val="24"/>
          <w:szCs w:val="24"/>
          <w:lang w:val="en-AU"/>
        </w:rPr>
        <w:t xml:space="preserve"> </w:t>
      </w:r>
      <w:proofErr w:type="spellStart"/>
      <w:r w:rsidRPr="005A410A">
        <w:rPr>
          <w:rFonts w:ascii="Times New Roman" w:eastAsia="Calibri" w:hAnsi="Times New Roman" w:cs="Times New Roman"/>
          <w:b/>
          <w:bCs/>
          <w:color w:val="000000"/>
          <w:sz w:val="24"/>
          <w:szCs w:val="24"/>
          <w:lang w:val="en-AU"/>
        </w:rPr>
        <w:t>veltītajiem</w:t>
      </w:r>
      <w:proofErr w:type="spellEnd"/>
      <w:r w:rsidRPr="005A410A">
        <w:rPr>
          <w:rFonts w:ascii="Times New Roman" w:eastAsia="Calibri" w:hAnsi="Times New Roman" w:cs="Times New Roman"/>
          <w:b/>
          <w:bCs/>
          <w:color w:val="000000"/>
          <w:sz w:val="24"/>
          <w:szCs w:val="24"/>
          <w:lang w:val="en-AU"/>
        </w:rPr>
        <w:t xml:space="preserve"> </w:t>
      </w:r>
      <w:proofErr w:type="spellStart"/>
      <w:r w:rsidRPr="005A410A">
        <w:rPr>
          <w:rFonts w:ascii="Times New Roman" w:eastAsia="Calibri" w:hAnsi="Times New Roman" w:cs="Times New Roman"/>
          <w:b/>
          <w:bCs/>
          <w:color w:val="000000"/>
          <w:sz w:val="24"/>
          <w:szCs w:val="24"/>
          <w:lang w:val="en-AU"/>
        </w:rPr>
        <w:t>pasākumiem</w:t>
      </w:r>
      <w:proofErr w:type="spellEnd"/>
      <w:r w:rsidRPr="005A410A">
        <w:rPr>
          <w:rFonts w:ascii="Times New Roman" w:eastAsia="Calibri" w:hAnsi="Times New Roman" w:cs="Times New Roman"/>
          <w:b/>
          <w:bCs/>
          <w:color w:val="000000"/>
          <w:sz w:val="24"/>
          <w:szCs w:val="24"/>
          <w:lang w:val="en-AU"/>
        </w:rPr>
        <w:t xml:space="preserve"> no </w:t>
      </w:r>
      <w:proofErr w:type="spellStart"/>
      <w:r w:rsidRPr="005A410A">
        <w:rPr>
          <w:rFonts w:ascii="Times New Roman" w:eastAsia="Calibri" w:hAnsi="Times New Roman" w:cs="Times New Roman"/>
          <w:b/>
          <w:bCs/>
          <w:color w:val="000000"/>
          <w:sz w:val="24"/>
          <w:szCs w:val="24"/>
          <w:lang w:val="en-AU"/>
        </w:rPr>
        <w:t>citām</w:t>
      </w:r>
      <w:proofErr w:type="spellEnd"/>
      <w:r w:rsidRPr="005A410A">
        <w:rPr>
          <w:rFonts w:ascii="Times New Roman" w:eastAsia="Calibri" w:hAnsi="Times New Roman" w:cs="Times New Roman"/>
          <w:b/>
          <w:bCs/>
          <w:color w:val="000000"/>
          <w:sz w:val="24"/>
          <w:szCs w:val="24"/>
          <w:lang w:val="en-AU"/>
        </w:rPr>
        <w:t xml:space="preserve"> </w:t>
      </w:r>
      <w:proofErr w:type="spellStart"/>
      <w:r w:rsidRPr="005A410A">
        <w:rPr>
          <w:rFonts w:ascii="Times New Roman" w:eastAsia="Calibri" w:hAnsi="Times New Roman" w:cs="Times New Roman"/>
          <w:b/>
          <w:bCs/>
          <w:color w:val="000000"/>
          <w:sz w:val="24"/>
          <w:szCs w:val="24"/>
          <w:lang w:val="en-AU"/>
        </w:rPr>
        <w:t>valsts</w:t>
      </w:r>
      <w:proofErr w:type="spellEnd"/>
      <w:r w:rsidRPr="005A410A">
        <w:rPr>
          <w:rFonts w:ascii="Times New Roman" w:eastAsia="Calibri" w:hAnsi="Times New Roman" w:cs="Times New Roman"/>
          <w:b/>
          <w:bCs/>
          <w:color w:val="000000"/>
          <w:sz w:val="24"/>
          <w:szCs w:val="24"/>
          <w:lang w:val="en-AU"/>
        </w:rPr>
        <w:t xml:space="preserve"> </w:t>
      </w:r>
      <w:proofErr w:type="spellStart"/>
      <w:r w:rsidRPr="005A410A">
        <w:rPr>
          <w:rFonts w:ascii="Times New Roman" w:eastAsia="Calibri" w:hAnsi="Times New Roman" w:cs="Times New Roman"/>
          <w:b/>
          <w:bCs/>
          <w:color w:val="000000"/>
          <w:sz w:val="24"/>
          <w:szCs w:val="24"/>
          <w:lang w:val="en-AU"/>
        </w:rPr>
        <w:t>budžeta</w:t>
      </w:r>
      <w:proofErr w:type="spellEnd"/>
      <w:r w:rsidRPr="005A410A">
        <w:rPr>
          <w:rFonts w:ascii="Times New Roman" w:eastAsia="Calibri" w:hAnsi="Times New Roman" w:cs="Times New Roman"/>
          <w:b/>
          <w:bCs/>
          <w:color w:val="000000"/>
          <w:sz w:val="24"/>
          <w:szCs w:val="24"/>
          <w:lang w:val="en-AU"/>
        </w:rPr>
        <w:t xml:space="preserve"> </w:t>
      </w:r>
      <w:proofErr w:type="spellStart"/>
      <w:r w:rsidRPr="005A410A">
        <w:rPr>
          <w:rFonts w:ascii="Times New Roman" w:eastAsia="Calibri" w:hAnsi="Times New Roman" w:cs="Times New Roman"/>
          <w:b/>
          <w:bCs/>
          <w:color w:val="000000"/>
          <w:sz w:val="24"/>
          <w:szCs w:val="24"/>
          <w:lang w:val="en-AU"/>
        </w:rPr>
        <w:t>programmām</w:t>
      </w:r>
      <w:proofErr w:type="spellEnd"/>
      <w:r w:rsidRPr="005A410A">
        <w:rPr>
          <w:rFonts w:ascii="Times New Roman" w:eastAsia="Calibri" w:hAnsi="Times New Roman" w:cs="Times New Roman"/>
          <w:b/>
          <w:bCs/>
          <w:color w:val="000000"/>
          <w:sz w:val="24"/>
          <w:szCs w:val="24"/>
          <w:lang w:val="en-AU"/>
        </w:rPr>
        <w:t>/</w:t>
      </w:r>
      <w:proofErr w:type="spellStart"/>
      <w:r w:rsidRPr="005A410A">
        <w:rPr>
          <w:rFonts w:ascii="Times New Roman" w:eastAsia="Calibri" w:hAnsi="Times New Roman" w:cs="Times New Roman"/>
          <w:b/>
          <w:bCs/>
          <w:color w:val="000000"/>
          <w:sz w:val="24"/>
          <w:szCs w:val="24"/>
          <w:lang w:val="en-AU"/>
        </w:rPr>
        <w:t>apakšprogrammām</w:t>
      </w:r>
      <w:proofErr w:type="spellEnd"/>
    </w:p>
    <w:p w:rsidR="00B558B1" w:rsidRPr="005A410A" w:rsidRDefault="00B558B1" w:rsidP="00B558B1">
      <w:pPr>
        <w:pStyle w:val="Sarakstarindkopa"/>
        <w:shd w:val="clear" w:color="auto" w:fill="FFFFFF"/>
        <w:jc w:val="center"/>
        <w:rPr>
          <w:rFonts w:ascii="Times New Roman" w:hAnsi="Times New Roman"/>
          <w:b/>
          <w:bCs/>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B558B1" w:rsidRPr="005A410A" w:rsidTr="00CF2DB4">
        <w:trPr>
          <w:trHeight w:val="300"/>
        </w:trPr>
        <w:tc>
          <w:tcPr>
            <w:tcW w:w="850" w:type="pct"/>
            <w:tcBorders>
              <w:top w:val="nil"/>
              <w:left w:val="nil"/>
              <w:bottom w:val="nil"/>
              <w:right w:val="nil"/>
            </w:tcBorders>
            <w:hideMark/>
          </w:tcPr>
          <w:p w:rsidR="00B558B1" w:rsidRPr="005A410A" w:rsidRDefault="00B558B1" w:rsidP="00CF2DB4">
            <w:pPr>
              <w:jc w:val="left"/>
              <w:rPr>
                <w:rFonts w:ascii="Times New Roman" w:hAnsi="Times New Roman" w:cs="Times New Roman"/>
                <w:sz w:val="24"/>
                <w:szCs w:val="24"/>
              </w:rPr>
            </w:pPr>
            <w:r w:rsidRPr="005A410A">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rsidR="00B558B1" w:rsidRPr="005A410A" w:rsidRDefault="006E57BD" w:rsidP="006E57BD">
            <w:pPr>
              <w:jc w:val="center"/>
              <w:rPr>
                <w:rFonts w:ascii="Times New Roman" w:hAnsi="Times New Roman" w:cs="Times New Roman"/>
                <w:sz w:val="24"/>
                <w:szCs w:val="24"/>
              </w:rPr>
            </w:pPr>
            <w:r w:rsidRPr="005A410A">
              <w:rPr>
                <w:rFonts w:ascii="Times New Roman" w:hAnsi="Times New Roman" w:cs="Times New Roman"/>
                <w:b/>
                <w:bCs/>
                <w:sz w:val="24"/>
                <w:szCs w:val="24"/>
              </w:rPr>
              <w:t>Latvijas Sporta muzejs</w:t>
            </w:r>
          </w:p>
        </w:tc>
        <w:tc>
          <w:tcPr>
            <w:tcW w:w="850" w:type="pct"/>
            <w:tcBorders>
              <w:top w:val="nil"/>
              <w:left w:val="nil"/>
              <w:bottom w:val="nil"/>
              <w:right w:val="nil"/>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sz w:val="24"/>
                <w:szCs w:val="24"/>
              </w:rPr>
              <w:t> </w:t>
            </w:r>
          </w:p>
        </w:tc>
      </w:tr>
      <w:tr w:rsidR="00B558B1" w:rsidRPr="005A410A" w:rsidTr="00CF2DB4">
        <w:trPr>
          <w:trHeight w:val="300"/>
        </w:trPr>
        <w:tc>
          <w:tcPr>
            <w:tcW w:w="850" w:type="pct"/>
            <w:tcBorders>
              <w:top w:val="nil"/>
              <w:left w:val="nil"/>
              <w:bottom w:val="nil"/>
              <w:right w:val="nil"/>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rsidR="00B558B1" w:rsidRPr="005A410A" w:rsidRDefault="00B558B1" w:rsidP="00CF2DB4">
            <w:pPr>
              <w:pStyle w:val="tvhtml"/>
              <w:spacing w:line="293" w:lineRule="atLeast"/>
              <w:jc w:val="center"/>
            </w:pPr>
            <w:r w:rsidRPr="005A410A">
              <w:t>(ministrijas vai citas centrālās valsts iestādes nosaukums)</w:t>
            </w:r>
          </w:p>
        </w:tc>
        <w:tc>
          <w:tcPr>
            <w:tcW w:w="850" w:type="pct"/>
            <w:tcBorders>
              <w:top w:val="nil"/>
              <w:left w:val="nil"/>
              <w:bottom w:val="nil"/>
              <w:right w:val="nil"/>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sz w:val="24"/>
                <w:szCs w:val="24"/>
              </w:rPr>
              <w:t> </w:t>
            </w:r>
          </w:p>
        </w:tc>
      </w:tr>
    </w:tbl>
    <w:p w:rsidR="00B558B1" w:rsidRPr="005A410A" w:rsidRDefault="00B558B1" w:rsidP="00B558B1">
      <w:pPr>
        <w:pStyle w:val="Sarakstarindkopa"/>
        <w:numPr>
          <w:ilvl w:val="0"/>
          <w:numId w:val="1"/>
        </w:numPr>
        <w:shd w:val="clear" w:color="auto" w:fill="FFFFFF"/>
        <w:rPr>
          <w:rFonts w:ascii="Times New Roman" w:hAnsi="Times New Roman"/>
          <w:vanish/>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B558B1" w:rsidRPr="005A410A" w:rsidTr="00CF2DB4">
        <w:trPr>
          <w:trHeight w:val="300"/>
        </w:trPr>
        <w:tc>
          <w:tcPr>
            <w:tcW w:w="850" w:type="pct"/>
            <w:gridSpan w:val="2"/>
            <w:tcBorders>
              <w:top w:val="nil"/>
              <w:left w:val="nil"/>
              <w:bottom w:val="nil"/>
              <w:right w:val="nil"/>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sz w:val="24"/>
                <w:szCs w:val="24"/>
              </w:rPr>
              <w:t> </w:t>
            </w:r>
            <w:r w:rsidR="006E57BD" w:rsidRPr="005A410A">
              <w:rPr>
                <w:rFonts w:ascii="Times New Roman" w:hAnsi="Times New Roman" w:cs="Times New Roman"/>
                <w:bCs/>
                <w:sz w:val="24"/>
                <w:szCs w:val="24"/>
              </w:rPr>
              <w:t>Grāmatas “Latvijas Sporta lepnums 100” atvēršana 2018.gada 29.oktobrī plkst. 13.00</w:t>
            </w:r>
          </w:p>
        </w:tc>
        <w:tc>
          <w:tcPr>
            <w:tcW w:w="800" w:type="pct"/>
            <w:gridSpan w:val="2"/>
            <w:tcBorders>
              <w:top w:val="nil"/>
              <w:left w:val="nil"/>
              <w:bottom w:val="nil"/>
              <w:right w:val="nil"/>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sz w:val="24"/>
                <w:szCs w:val="24"/>
              </w:rPr>
              <w:t> </w:t>
            </w:r>
          </w:p>
        </w:tc>
      </w:tr>
      <w:tr w:rsidR="00B558B1" w:rsidRPr="005A410A" w:rsidTr="00CF2DB4">
        <w:trPr>
          <w:trHeight w:val="300"/>
        </w:trPr>
        <w:tc>
          <w:tcPr>
            <w:tcW w:w="850" w:type="pct"/>
            <w:gridSpan w:val="2"/>
            <w:tcBorders>
              <w:top w:val="nil"/>
              <w:left w:val="nil"/>
              <w:bottom w:val="nil"/>
              <w:right w:val="nil"/>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rsidR="00B558B1" w:rsidRPr="005A410A" w:rsidRDefault="00B558B1" w:rsidP="00CF2DB4">
            <w:pPr>
              <w:pStyle w:val="tvhtml"/>
              <w:spacing w:line="293" w:lineRule="atLeast"/>
              <w:jc w:val="center"/>
            </w:pPr>
            <w:r w:rsidRPr="005A410A">
              <w:t>(pasākuma nosaukums un pilnais norises laiks)</w:t>
            </w:r>
          </w:p>
        </w:tc>
        <w:tc>
          <w:tcPr>
            <w:tcW w:w="800" w:type="pct"/>
            <w:gridSpan w:val="2"/>
            <w:tcBorders>
              <w:top w:val="nil"/>
              <w:left w:val="nil"/>
              <w:bottom w:val="nil"/>
              <w:right w:val="nil"/>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sz w:val="24"/>
                <w:szCs w:val="24"/>
              </w:rPr>
              <w:t> </w:t>
            </w:r>
          </w:p>
        </w:tc>
      </w:tr>
      <w:tr w:rsidR="00B558B1" w:rsidRPr="005A410A"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b/>
                <w:bCs/>
                <w:sz w:val="24"/>
                <w:szCs w:val="24"/>
                <w:bdr w:val="none" w:sz="0" w:space="0" w:color="auto" w:frame="1"/>
              </w:rPr>
              <w:t>1.</w:t>
            </w:r>
            <w:r w:rsidRPr="005A410A">
              <w:rPr>
                <w:rFonts w:ascii="Times New Roman" w:hAnsi="Times New Roman" w:cs="Times New Roman"/>
                <w:sz w:val="24"/>
                <w:szCs w:val="24"/>
              </w:rPr>
              <w:t> </w:t>
            </w:r>
            <w:r w:rsidRPr="005A410A">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6E57BD" w:rsidRPr="005A410A" w:rsidRDefault="00B558B1" w:rsidP="006E57BD">
            <w:pPr>
              <w:rPr>
                <w:rFonts w:ascii="Times New Roman" w:hAnsi="Times New Roman" w:cs="Times New Roman"/>
                <w:sz w:val="24"/>
                <w:szCs w:val="24"/>
              </w:rPr>
            </w:pPr>
            <w:r w:rsidRPr="005A410A">
              <w:rPr>
                <w:rFonts w:ascii="Times New Roman" w:hAnsi="Times New Roman" w:cs="Times New Roman"/>
                <w:sz w:val="24"/>
                <w:szCs w:val="24"/>
              </w:rPr>
              <w:t> </w:t>
            </w:r>
            <w:r w:rsidR="006E57BD" w:rsidRPr="005A410A">
              <w:rPr>
                <w:rFonts w:ascii="Times New Roman" w:hAnsi="Times New Roman" w:cs="Times New Roman"/>
                <w:sz w:val="24"/>
                <w:szCs w:val="24"/>
              </w:rPr>
              <w:t>Norise atbilst šādiem kritērijiem:</w:t>
            </w:r>
          </w:p>
          <w:p w:rsidR="006E57BD" w:rsidRPr="005A410A" w:rsidRDefault="006E57BD" w:rsidP="006E57BD">
            <w:pPr>
              <w:numPr>
                <w:ilvl w:val="0"/>
                <w:numId w:val="2"/>
              </w:numPr>
              <w:spacing w:after="0"/>
              <w:rPr>
                <w:rFonts w:ascii="Times New Roman" w:hAnsi="Times New Roman" w:cs="Times New Roman"/>
                <w:sz w:val="24"/>
                <w:szCs w:val="24"/>
              </w:rPr>
            </w:pPr>
            <w:r w:rsidRPr="005A410A">
              <w:rPr>
                <w:rFonts w:ascii="Times New Roman" w:hAnsi="Times New Roman" w:cs="Times New Roman"/>
                <w:sz w:val="24"/>
                <w:szCs w:val="24"/>
              </w:rPr>
              <w:t xml:space="preserve">norise rada un uztur valsts svētku sajūtu; </w:t>
            </w:r>
          </w:p>
          <w:p w:rsidR="006E57BD" w:rsidRPr="005A410A" w:rsidRDefault="006E57BD" w:rsidP="006E57BD">
            <w:pPr>
              <w:numPr>
                <w:ilvl w:val="0"/>
                <w:numId w:val="2"/>
              </w:numPr>
              <w:spacing w:after="0"/>
              <w:rPr>
                <w:rFonts w:ascii="Times New Roman" w:hAnsi="Times New Roman" w:cs="Times New Roman"/>
                <w:sz w:val="24"/>
                <w:szCs w:val="24"/>
              </w:rPr>
            </w:pPr>
            <w:r w:rsidRPr="005A410A">
              <w:rPr>
                <w:rFonts w:ascii="Times New Roman" w:hAnsi="Times New Roman" w:cs="Times New Roman"/>
                <w:sz w:val="24"/>
                <w:szCs w:val="24"/>
              </w:rPr>
              <w:t>Grāmata ir kā spogulis mūsu tautas gribai sportot,  stāsta Latvijas stāstu, dod ieguldījumu Latvijas tēla veidošanā.</w:t>
            </w:r>
          </w:p>
          <w:p w:rsidR="00B558B1" w:rsidRPr="005A410A" w:rsidRDefault="006E57BD" w:rsidP="006E57BD">
            <w:pPr>
              <w:rPr>
                <w:rFonts w:ascii="Times New Roman" w:hAnsi="Times New Roman" w:cs="Times New Roman"/>
                <w:sz w:val="24"/>
                <w:szCs w:val="24"/>
              </w:rPr>
            </w:pPr>
            <w:r w:rsidRPr="005A410A">
              <w:rPr>
                <w:rFonts w:ascii="Times New Roman" w:hAnsi="Times New Roman" w:cs="Times New Roman"/>
                <w:sz w:val="24"/>
                <w:szCs w:val="24"/>
              </w:rPr>
              <w:t>2018.gada  29.oktobrī plkst.13.00</w:t>
            </w:r>
          </w:p>
        </w:tc>
      </w:tr>
      <w:tr w:rsidR="00B558B1" w:rsidRPr="005A410A"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5A410A" w:rsidRDefault="00B558B1" w:rsidP="00CF2DB4">
            <w:pPr>
              <w:rPr>
                <w:rFonts w:ascii="Times New Roman" w:hAnsi="Times New Roman" w:cs="Times New Roman"/>
                <w:sz w:val="24"/>
                <w:szCs w:val="24"/>
              </w:rPr>
            </w:pPr>
            <w:r w:rsidRPr="005A410A">
              <w:rPr>
                <w:rFonts w:ascii="Times New Roman" w:hAnsi="Times New Roman" w:cs="Times New Roman"/>
                <w:b/>
                <w:bCs/>
                <w:sz w:val="24"/>
                <w:szCs w:val="24"/>
                <w:bdr w:val="none" w:sz="0" w:space="0" w:color="auto" w:frame="1"/>
              </w:rPr>
              <w:t>2.</w:t>
            </w:r>
            <w:r w:rsidRPr="005A410A">
              <w:rPr>
                <w:rFonts w:ascii="Times New Roman" w:hAnsi="Times New Roman" w:cs="Times New Roman"/>
                <w:sz w:val="24"/>
                <w:szCs w:val="24"/>
              </w:rPr>
              <w:t> </w:t>
            </w:r>
            <w:r w:rsidRPr="005A410A">
              <w:rPr>
                <w:rFonts w:ascii="Times New Roman" w:hAnsi="Times New Roman" w:cs="Times New Roman"/>
                <w:b/>
                <w:bCs/>
                <w:sz w:val="24"/>
                <w:szCs w:val="24"/>
                <w:bdr w:val="none" w:sz="0" w:space="0" w:color="auto" w:frame="1"/>
              </w:rPr>
              <w:t>Pasākuma mērķauditorija</w:t>
            </w:r>
            <w:r w:rsidRPr="005A410A">
              <w:rPr>
                <w:rFonts w:ascii="Times New Roman" w:hAnsi="Times New Roman" w:cs="Times New Roman"/>
                <w:sz w:val="24"/>
                <w:szCs w:val="24"/>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6E57BD" w:rsidRPr="005A410A" w:rsidRDefault="00B558B1" w:rsidP="006E57BD">
            <w:pPr>
              <w:autoSpaceDE w:val="0"/>
              <w:autoSpaceDN w:val="0"/>
              <w:spacing w:before="160"/>
              <w:rPr>
                <w:rFonts w:ascii="Times New Roman" w:hAnsi="Times New Roman" w:cs="Times New Roman"/>
                <w:sz w:val="24"/>
                <w:szCs w:val="24"/>
              </w:rPr>
            </w:pPr>
            <w:r w:rsidRPr="005A410A">
              <w:rPr>
                <w:rFonts w:ascii="Times New Roman" w:hAnsi="Times New Roman" w:cs="Times New Roman"/>
                <w:sz w:val="24"/>
                <w:szCs w:val="24"/>
              </w:rPr>
              <w:t> </w:t>
            </w:r>
            <w:r w:rsidR="006E57BD" w:rsidRPr="005A410A">
              <w:rPr>
                <w:rFonts w:ascii="Times New Roman" w:hAnsi="Times New Roman" w:cs="Times New Roman"/>
                <w:sz w:val="24"/>
                <w:szCs w:val="24"/>
              </w:rPr>
              <w:t>Norises aptver šādas mērķauditorijas:</w:t>
            </w:r>
          </w:p>
          <w:p w:rsidR="006E57BD" w:rsidRPr="005A410A" w:rsidRDefault="006E57BD" w:rsidP="006E57BD">
            <w:pPr>
              <w:pStyle w:val="Sarakstarindkopa"/>
              <w:numPr>
                <w:ilvl w:val="0"/>
                <w:numId w:val="2"/>
              </w:numPr>
              <w:spacing w:after="0"/>
              <w:contextualSpacing w:val="0"/>
              <w:rPr>
                <w:rFonts w:ascii="Times New Roman" w:hAnsi="Times New Roman"/>
                <w:color w:val="FF0000"/>
                <w:sz w:val="24"/>
                <w:szCs w:val="24"/>
              </w:rPr>
            </w:pPr>
            <w:proofErr w:type="spellStart"/>
            <w:r w:rsidRPr="005A410A">
              <w:rPr>
                <w:rFonts w:ascii="Times New Roman" w:hAnsi="Times New Roman"/>
                <w:sz w:val="24"/>
                <w:szCs w:val="24"/>
                <w:shd w:val="clear" w:color="auto" w:fill="FFFFFF"/>
              </w:rPr>
              <w:t>Cits</w:t>
            </w:r>
            <w:proofErr w:type="spellEnd"/>
            <w:r w:rsidRPr="005A410A">
              <w:rPr>
                <w:rFonts w:ascii="Times New Roman" w:hAnsi="Times New Roman"/>
                <w:sz w:val="24"/>
                <w:szCs w:val="24"/>
                <w:shd w:val="clear" w:color="auto" w:fill="FFFFFF"/>
              </w:rPr>
              <w:t xml:space="preserve"> - Latvijas </w:t>
            </w:r>
            <w:proofErr w:type="spellStart"/>
            <w:r w:rsidRPr="005A410A">
              <w:rPr>
                <w:rFonts w:ascii="Times New Roman" w:hAnsi="Times New Roman"/>
                <w:sz w:val="24"/>
                <w:szCs w:val="24"/>
                <w:shd w:val="clear" w:color="auto" w:fill="FFFFFF"/>
              </w:rPr>
              <w:t>iedzīvotāji</w:t>
            </w:r>
            <w:proofErr w:type="spellEnd"/>
            <w:r w:rsidRPr="005A410A">
              <w:rPr>
                <w:rFonts w:ascii="Times New Roman" w:hAnsi="Times New Roman"/>
                <w:sz w:val="24"/>
                <w:szCs w:val="24"/>
                <w:shd w:val="clear" w:color="auto" w:fill="FFFFFF"/>
              </w:rPr>
              <w:t>;</w:t>
            </w:r>
          </w:p>
          <w:p w:rsidR="00B558B1" w:rsidRPr="005A410A" w:rsidRDefault="006E57BD" w:rsidP="00CF2DB4">
            <w:pPr>
              <w:rPr>
                <w:rFonts w:ascii="Times New Roman" w:eastAsia="Calibri" w:hAnsi="Times New Roman" w:cs="Times New Roman"/>
                <w:sz w:val="24"/>
                <w:szCs w:val="24"/>
              </w:rPr>
            </w:pPr>
            <w:r w:rsidRPr="005A410A">
              <w:rPr>
                <w:rFonts w:ascii="Times New Roman" w:eastAsia="Calibri" w:hAnsi="Times New Roman" w:cs="Times New Roman"/>
                <w:sz w:val="24"/>
                <w:szCs w:val="24"/>
              </w:rPr>
              <w:t xml:space="preserve">Grāmatas atvēršanas svētkus apmeklēja –  20 olimpieši, 15 fotogrāfi, sportisti, sporta darbinieki, sporta veterāni, LOK prezidents Aldonis Vrubļevskis , IZM  ministrs  Kārlis Šadurskis, Sporta departamenta direktors Edgars Severs ,   Raimonds Bergmanis,  LSPA rektors Jānis </w:t>
            </w:r>
            <w:proofErr w:type="spellStart"/>
            <w:r w:rsidRPr="005A410A">
              <w:rPr>
                <w:rFonts w:ascii="Times New Roman" w:eastAsia="Calibri" w:hAnsi="Times New Roman" w:cs="Times New Roman"/>
                <w:sz w:val="24"/>
                <w:szCs w:val="24"/>
              </w:rPr>
              <w:t>Žīdens</w:t>
            </w:r>
            <w:proofErr w:type="spellEnd"/>
            <w:r w:rsidRPr="005A410A">
              <w:rPr>
                <w:rFonts w:ascii="Times New Roman" w:eastAsia="Calibri" w:hAnsi="Times New Roman" w:cs="Times New Roman"/>
                <w:sz w:val="24"/>
                <w:szCs w:val="24"/>
              </w:rPr>
              <w:t xml:space="preserve">, LSFP prezidents Einars Fogelis, Olimpieši Jānis Lūsis, Elvīra Ozoliņa, Sandis Ozoliņš, Zintis Ekmanis un citi sporta iestāžu darbinieki, iedzīvotāji un citi interesenti pavisam kopā 190 cilvēki. Žurnālisti un preses pārstāvji. Pasākumu vadīja Gunārs Jākobsons. </w:t>
            </w:r>
          </w:p>
        </w:tc>
      </w:tr>
      <w:tr w:rsidR="00B558B1" w:rsidRPr="005A410A"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5A410A" w:rsidRDefault="00B558B1" w:rsidP="00CF2DB4">
            <w:pPr>
              <w:rPr>
                <w:rFonts w:ascii="Times New Roman" w:hAnsi="Times New Roman" w:cs="Times New Roman"/>
                <w:b/>
                <w:bCs/>
                <w:sz w:val="24"/>
                <w:szCs w:val="24"/>
              </w:rPr>
            </w:pPr>
            <w:r w:rsidRPr="005A410A">
              <w:rPr>
                <w:rFonts w:ascii="Times New Roman" w:hAnsi="Times New Roman" w:cs="Times New Roman"/>
                <w:b/>
                <w:bCs/>
                <w:sz w:val="24"/>
                <w:szCs w:val="24"/>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6E57BD" w:rsidRPr="005A410A" w:rsidRDefault="00B558B1" w:rsidP="006E57BD">
            <w:pPr>
              <w:rPr>
                <w:rFonts w:ascii="Times New Roman" w:hAnsi="Times New Roman" w:cs="Times New Roman"/>
                <w:sz w:val="24"/>
                <w:szCs w:val="24"/>
              </w:rPr>
            </w:pPr>
            <w:r w:rsidRPr="005A410A">
              <w:rPr>
                <w:rFonts w:ascii="Times New Roman" w:hAnsi="Times New Roman" w:cs="Times New Roman"/>
                <w:sz w:val="24"/>
                <w:szCs w:val="24"/>
              </w:rPr>
              <w:t> </w:t>
            </w:r>
            <w:r w:rsidR="006E57BD" w:rsidRPr="005A410A">
              <w:rPr>
                <w:rFonts w:ascii="Times New Roman" w:hAnsi="Times New Roman" w:cs="Times New Roman"/>
                <w:sz w:val="24"/>
                <w:szCs w:val="24"/>
              </w:rPr>
              <w:t xml:space="preserve">Paliekošā vērtība: </w:t>
            </w:r>
          </w:p>
          <w:p w:rsidR="006E57BD" w:rsidRPr="005A410A" w:rsidRDefault="006E57BD" w:rsidP="006E57BD">
            <w:pPr>
              <w:numPr>
                <w:ilvl w:val="0"/>
                <w:numId w:val="3"/>
              </w:numPr>
              <w:spacing w:after="0"/>
              <w:rPr>
                <w:rFonts w:ascii="Times New Roman" w:hAnsi="Times New Roman" w:cs="Times New Roman"/>
                <w:sz w:val="24"/>
                <w:szCs w:val="24"/>
              </w:rPr>
            </w:pPr>
            <w:r w:rsidRPr="005A410A">
              <w:rPr>
                <w:rFonts w:ascii="Times New Roman" w:hAnsi="Times New Roman" w:cs="Times New Roman"/>
                <w:sz w:val="24"/>
                <w:szCs w:val="24"/>
              </w:rPr>
              <w:t>nostiprināts lepnums par Latvijas valsti;</w:t>
            </w:r>
          </w:p>
          <w:p w:rsidR="006E57BD" w:rsidRPr="005A410A" w:rsidRDefault="006E57BD" w:rsidP="006E57BD">
            <w:pPr>
              <w:numPr>
                <w:ilvl w:val="0"/>
                <w:numId w:val="3"/>
              </w:numPr>
              <w:spacing w:after="0"/>
              <w:rPr>
                <w:rFonts w:ascii="Times New Roman" w:hAnsi="Times New Roman" w:cs="Times New Roman"/>
                <w:sz w:val="24"/>
                <w:szCs w:val="24"/>
              </w:rPr>
            </w:pPr>
            <w:r w:rsidRPr="005A410A">
              <w:rPr>
                <w:rFonts w:ascii="Times New Roman" w:hAnsi="Times New Roman" w:cs="Times New Roman"/>
                <w:sz w:val="24"/>
                <w:szCs w:val="24"/>
              </w:rPr>
              <w:t>radīta jauna kultūras pieredze un emocijas;</w:t>
            </w:r>
          </w:p>
          <w:p w:rsidR="006E57BD" w:rsidRPr="005A410A" w:rsidRDefault="006E57BD" w:rsidP="006E57BD">
            <w:pPr>
              <w:numPr>
                <w:ilvl w:val="0"/>
                <w:numId w:val="3"/>
              </w:numPr>
              <w:spacing w:after="0"/>
              <w:rPr>
                <w:rFonts w:ascii="Times New Roman" w:hAnsi="Times New Roman" w:cs="Times New Roman"/>
                <w:sz w:val="24"/>
                <w:szCs w:val="24"/>
              </w:rPr>
            </w:pPr>
            <w:r w:rsidRPr="005A410A">
              <w:rPr>
                <w:rFonts w:ascii="Times New Roman" w:hAnsi="Times New Roman" w:cs="Times New Roman"/>
                <w:sz w:val="24"/>
                <w:szCs w:val="24"/>
              </w:rPr>
              <w:t>grāmata radīts jauns (tostarp digitāls) mantojums;</w:t>
            </w:r>
          </w:p>
          <w:p w:rsidR="006E57BD" w:rsidRPr="005A410A" w:rsidRDefault="006E57BD" w:rsidP="006E57BD">
            <w:pPr>
              <w:numPr>
                <w:ilvl w:val="0"/>
                <w:numId w:val="3"/>
              </w:numPr>
              <w:spacing w:after="0"/>
              <w:rPr>
                <w:rFonts w:ascii="Times New Roman" w:hAnsi="Times New Roman" w:cs="Times New Roman"/>
                <w:sz w:val="24"/>
                <w:szCs w:val="24"/>
              </w:rPr>
            </w:pPr>
            <w:r w:rsidRPr="005A410A">
              <w:rPr>
                <w:rFonts w:ascii="Times New Roman" w:hAnsi="Times New Roman" w:cs="Times New Roman"/>
                <w:sz w:val="24"/>
                <w:szCs w:val="24"/>
              </w:rPr>
              <w:t>radīts jauns mākslas darbs);</w:t>
            </w:r>
          </w:p>
          <w:p w:rsidR="006E57BD" w:rsidRPr="005A410A" w:rsidRDefault="006E57BD" w:rsidP="006E57BD">
            <w:pPr>
              <w:rPr>
                <w:rFonts w:ascii="Times New Roman" w:eastAsia="Calibri" w:hAnsi="Times New Roman" w:cs="Times New Roman"/>
                <w:sz w:val="24"/>
                <w:szCs w:val="24"/>
              </w:rPr>
            </w:pPr>
            <w:r w:rsidRPr="005A410A">
              <w:rPr>
                <w:rFonts w:ascii="Times New Roman" w:eastAsia="Calibri" w:hAnsi="Times New Roman" w:cs="Times New Roman"/>
                <w:sz w:val="24"/>
                <w:szCs w:val="24"/>
              </w:rPr>
              <w:t>Grāmatas   tapšana, kas aizsākta krietnu laiku atpakaļ, ir pēdējo gadu grandiozākais kopdarbs, kura veidošanā iesaistījās 27 autori, 29 fotogrāfi organizācijas un privātpersonas. 480 lapaspušu biezais izdevums ar stāstiem. Ar pāri par 400 ilustrācijām, fotoattēliem no Latvijas Sporta muzeja, Latvijas Olimpiskās komitejas, Rīgas Motormuzeja, sporta veidu federācijām un privātpersonu arhīvu materiāliem veido saturā iespaidīgu un patiesu vēstījumu par simts gados paveikto ceļu – no pirmās Olimpiādes līdz pēdējām Olimpiskajām spēlēm 2018.gadā.</w:t>
            </w:r>
          </w:p>
          <w:p w:rsidR="00B558B1" w:rsidRPr="005A410A" w:rsidRDefault="006E57BD" w:rsidP="006E57BD">
            <w:pPr>
              <w:rPr>
                <w:rFonts w:ascii="Times New Roman" w:hAnsi="Times New Roman" w:cs="Times New Roman"/>
                <w:sz w:val="24"/>
                <w:szCs w:val="24"/>
              </w:rPr>
            </w:pPr>
            <w:r w:rsidRPr="005A410A">
              <w:rPr>
                <w:rFonts w:ascii="Times New Roman" w:hAnsi="Times New Roman" w:cs="Times New Roman"/>
                <w:sz w:val="24"/>
                <w:szCs w:val="24"/>
              </w:rPr>
              <w:lastRenderedPageBreak/>
              <w:t>Grāmatu izdevis Latvijas Sporta muzejs ar LR Izglītības un zinātnes ministrijas finansiālu atbalstu.</w:t>
            </w:r>
          </w:p>
        </w:tc>
      </w:tr>
      <w:tr w:rsidR="00B558B1" w:rsidRPr="005A410A"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B558B1" w:rsidRPr="005A410A" w:rsidRDefault="00B558B1" w:rsidP="00CF2DB4">
            <w:pPr>
              <w:rPr>
                <w:rFonts w:ascii="Times New Roman" w:hAnsi="Times New Roman" w:cs="Times New Roman"/>
                <w:b/>
                <w:bCs/>
                <w:sz w:val="24"/>
                <w:szCs w:val="24"/>
              </w:rPr>
            </w:pPr>
            <w:r w:rsidRPr="005A410A">
              <w:rPr>
                <w:rFonts w:ascii="Times New Roman" w:hAnsi="Times New Roman" w:cs="Times New Roman"/>
                <w:b/>
                <w:bCs/>
                <w:sz w:val="24"/>
                <w:szCs w:val="24"/>
              </w:rPr>
              <w:lastRenderedPageBreak/>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F4546D" w:rsidRDefault="00F4546D" w:rsidP="00F4546D">
            <w:pPr>
              <w:autoSpaceDE w:val="0"/>
              <w:autoSpaceDN w:val="0"/>
              <w:jc w:val="center"/>
            </w:pPr>
            <w:r>
              <w:t>35 000.00 (2017)</w:t>
            </w:r>
            <w:r>
              <w:br/>
              <w:t>35 215.00 (2018)</w:t>
            </w:r>
          </w:p>
          <w:p w:rsidR="00B558B1" w:rsidRPr="005A410A" w:rsidRDefault="00F4546D" w:rsidP="00F4546D">
            <w:pPr>
              <w:jc w:val="center"/>
              <w:rPr>
                <w:rFonts w:ascii="Times New Roman" w:hAnsi="Times New Roman" w:cs="Times New Roman"/>
                <w:sz w:val="24"/>
                <w:szCs w:val="24"/>
              </w:rPr>
            </w:pPr>
            <w:r>
              <w:rPr>
                <w:rFonts w:ascii="Times New Roman" w:hAnsi="Times New Roman" w:cs="Times New Roman"/>
                <w:sz w:val="24"/>
                <w:szCs w:val="24"/>
              </w:rPr>
              <w:t xml:space="preserve">Kopā </w:t>
            </w:r>
            <w:r>
              <w:t>70215.00</w:t>
            </w:r>
          </w:p>
        </w:tc>
      </w:tr>
    </w:tbl>
    <w:p w:rsidR="009714CD" w:rsidRPr="005A410A" w:rsidRDefault="009714CD">
      <w:pPr>
        <w:rPr>
          <w:rFonts w:ascii="Times New Roman" w:hAnsi="Times New Roman" w:cs="Times New Roman"/>
          <w:sz w:val="24"/>
          <w:szCs w:val="24"/>
        </w:rPr>
      </w:pPr>
    </w:p>
    <w:sectPr w:rsidR="009714CD" w:rsidRPr="005A410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C4B29"/>
    <w:multiLevelType w:val="hybridMultilevel"/>
    <w:tmpl w:val="E88C0408"/>
    <w:lvl w:ilvl="0" w:tplc="241A4830">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764A46AB"/>
    <w:multiLevelType w:val="hybridMultilevel"/>
    <w:tmpl w:val="A552D124"/>
    <w:lvl w:ilvl="0" w:tplc="699A9542">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8B1"/>
    <w:rsid w:val="005A410A"/>
    <w:rsid w:val="005C4ED8"/>
    <w:rsid w:val="006E57BD"/>
    <w:rsid w:val="009714CD"/>
    <w:rsid w:val="00A2155B"/>
    <w:rsid w:val="00B558B1"/>
    <w:rsid w:val="00C1186C"/>
    <w:rsid w:val="00E173A2"/>
    <w:rsid w:val="00F4546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BE2307-F7A2-4FE9-9F79-4273D17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558B1"/>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B558B1"/>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B558B1"/>
    <w:rPr>
      <w:rFonts w:ascii="Calibri" w:eastAsia="Calibri" w:hAnsi="Calibri" w:cs="Times New Roman"/>
      <w:color w:val="000000"/>
      <w:szCs w:val="20"/>
      <w:lang w:val="en-AU"/>
    </w:rPr>
  </w:style>
  <w:style w:type="paragraph" w:customStyle="1" w:styleId="tvhtml">
    <w:name w:val="tv_html"/>
    <w:basedOn w:val="Parasts"/>
    <w:rsid w:val="00B558B1"/>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1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1577</Words>
  <Characters>899</Characters>
  <Application>Microsoft Office Word</Application>
  <DocSecurity>4</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Kultūras ministrija</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2</cp:revision>
  <dcterms:created xsi:type="dcterms:W3CDTF">2021-03-09T15:45:00Z</dcterms:created>
  <dcterms:modified xsi:type="dcterms:W3CDTF">2021-03-09T15:45:00Z</dcterms:modified>
</cp:coreProperties>
</file>