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9132F2" w:rsidP="0052136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Aizsardzības ministrija/Jaunsardzes centrs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9132F2" w:rsidP="0052136A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“Atceries Lāčplēšus”</w:t>
            </w:r>
            <w:r w:rsidR="0052136A">
              <w:rPr>
                <w:rFonts w:ascii="Verdana" w:hAnsi="Verdana"/>
              </w:rPr>
              <w:t xml:space="preserve"> (2017-2020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170FB7" w:rsidRDefault="004437B8" w:rsidP="00170FB7">
            <w:pPr>
              <w:spacing w:after="0"/>
              <w:rPr>
                <w:rFonts w:ascii="Verdana" w:hAnsi="Verdana"/>
                <w:color w:val="000000"/>
              </w:rPr>
            </w:pPr>
            <w:r w:rsidRPr="00B94076">
              <w:rPr>
                <w:rFonts w:ascii="Verdana" w:hAnsi="Verdana"/>
              </w:rPr>
              <w:t> </w:t>
            </w:r>
            <w:r w:rsidR="005B415F">
              <w:rPr>
                <w:rFonts w:ascii="Verdana" w:hAnsi="Verdana"/>
              </w:rPr>
              <w:t xml:space="preserve">Norišu kopums </w:t>
            </w:r>
            <w:r w:rsidR="009132F2">
              <w:rPr>
                <w:rFonts w:ascii="Verdana" w:hAnsi="Verdana"/>
              </w:rPr>
              <w:t xml:space="preserve">"Atceries </w:t>
            </w:r>
            <w:r w:rsidR="0054079C" w:rsidRPr="0054079C">
              <w:rPr>
                <w:rFonts w:ascii="Verdana" w:hAnsi="Verdana"/>
              </w:rPr>
              <w:t>Lāčplēš</w:t>
            </w:r>
            <w:r w:rsidR="00941D24">
              <w:rPr>
                <w:rFonts w:ascii="Verdana" w:hAnsi="Verdana"/>
              </w:rPr>
              <w:t>us"</w:t>
            </w:r>
            <w:r w:rsidR="004B4DAE">
              <w:rPr>
                <w:rFonts w:ascii="Verdana" w:hAnsi="Verdana"/>
              </w:rPr>
              <w:t xml:space="preserve"> </w:t>
            </w:r>
            <w:r w:rsidR="005B415F">
              <w:rPr>
                <w:rFonts w:ascii="Verdana" w:hAnsi="Verdana"/>
              </w:rPr>
              <w:t xml:space="preserve">ietvēra </w:t>
            </w:r>
            <w:r w:rsidR="00941D24">
              <w:rPr>
                <w:rFonts w:ascii="Verdana" w:hAnsi="Verdana"/>
              </w:rPr>
              <w:t>novadu</w:t>
            </w:r>
            <w:r w:rsidR="0054079C" w:rsidRPr="0054079C">
              <w:rPr>
                <w:rFonts w:ascii="Verdana" w:hAnsi="Verdana"/>
              </w:rPr>
              <w:t xml:space="preserve"> varoņu apzināšanu, informācijas apkopošanu par Lāčplēša </w:t>
            </w:r>
            <w:r w:rsidR="00941D24">
              <w:rPr>
                <w:rFonts w:ascii="Verdana" w:hAnsi="Verdana"/>
              </w:rPr>
              <w:t xml:space="preserve">kara </w:t>
            </w:r>
            <w:r w:rsidR="0054079C" w:rsidRPr="0054079C">
              <w:rPr>
                <w:rFonts w:ascii="Verdana" w:hAnsi="Verdana"/>
              </w:rPr>
              <w:t>ordeņa kavalieriem</w:t>
            </w:r>
            <w:r w:rsidR="00EC6ABC">
              <w:rPr>
                <w:rFonts w:ascii="Verdana" w:hAnsi="Verdana"/>
              </w:rPr>
              <w:t xml:space="preserve"> (LKOK)</w:t>
            </w:r>
            <w:r w:rsidR="0054079C" w:rsidRPr="0054079C">
              <w:rPr>
                <w:rFonts w:ascii="Verdana" w:hAnsi="Verdana"/>
              </w:rPr>
              <w:t xml:space="preserve"> un viņu atdusas vietu sakopšanu, t. sk., vienota p</w:t>
            </w:r>
            <w:r w:rsidR="00EC6ABC">
              <w:rPr>
                <w:rFonts w:ascii="Verdana" w:hAnsi="Verdana"/>
              </w:rPr>
              <w:t>a</w:t>
            </w:r>
            <w:r w:rsidR="005B415F">
              <w:rPr>
                <w:rFonts w:ascii="Verdana" w:hAnsi="Verdana"/>
              </w:rPr>
              <w:t>rauga granīta stēlu uzstādīšanu</w:t>
            </w:r>
            <w:r w:rsidR="0054079C" w:rsidRPr="0054079C">
              <w:rPr>
                <w:rFonts w:ascii="Verdana" w:hAnsi="Verdana"/>
              </w:rPr>
              <w:t>.</w:t>
            </w:r>
            <w:r w:rsidR="00170FB7">
              <w:rPr>
                <w:rFonts w:ascii="Verdana" w:hAnsi="Verdana"/>
              </w:rPr>
              <w:t xml:space="preserve"> Projekts tika sašaurināts, jo l</w:t>
            </w:r>
            <w:r w:rsidR="00170FB7" w:rsidRPr="00170FB7">
              <w:rPr>
                <w:rFonts w:ascii="Verdana" w:hAnsi="Verdana"/>
                <w:color w:val="000000"/>
              </w:rPr>
              <w:t>ielākā daļa stēlu tika izdalītas pašvaldībām jau līdz 2017.gadam, tādēļ nebija nepieciešamas sāko</w:t>
            </w:r>
            <w:r w:rsidR="00F54864">
              <w:rPr>
                <w:rFonts w:ascii="Verdana" w:hAnsi="Verdana"/>
                <w:color w:val="000000"/>
              </w:rPr>
              <w:t xml:space="preserve">tnēji </w:t>
            </w:r>
            <w:r w:rsidR="005B415F">
              <w:rPr>
                <w:rFonts w:ascii="Verdana" w:hAnsi="Verdana"/>
                <w:color w:val="000000"/>
              </w:rPr>
              <w:t xml:space="preserve">paredzētās aktivitātes </w:t>
            </w:r>
            <w:r w:rsidR="00F54864">
              <w:rPr>
                <w:rFonts w:ascii="Verdana" w:hAnsi="Verdana"/>
                <w:color w:val="000000"/>
              </w:rPr>
              <w:t>iniciatīvas popularizēšanai</w:t>
            </w:r>
            <w:r w:rsidR="00170FB7" w:rsidRPr="00170FB7">
              <w:rPr>
                <w:rFonts w:ascii="Verdana" w:hAnsi="Verdana"/>
                <w:color w:val="000000"/>
              </w:rPr>
              <w:t>.</w:t>
            </w:r>
            <w:r w:rsidR="00170FB7">
              <w:rPr>
                <w:rFonts w:ascii="Verdana" w:hAnsi="Verdana"/>
                <w:color w:val="000000"/>
              </w:rPr>
              <w:t xml:space="preserve"> Kopumā patlaban Latvijā </w:t>
            </w:r>
            <w:r w:rsidR="005B415F">
              <w:rPr>
                <w:rFonts w:ascii="Verdana" w:hAnsi="Verdana"/>
                <w:color w:val="000000"/>
              </w:rPr>
              <w:t xml:space="preserve">dažādās </w:t>
            </w:r>
            <w:r w:rsidR="00D25B74">
              <w:rPr>
                <w:rFonts w:ascii="Verdana" w:hAnsi="Verdana"/>
                <w:color w:val="000000"/>
              </w:rPr>
              <w:t xml:space="preserve">piemiņas vietās </w:t>
            </w:r>
            <w:r w:rsidR="00170FB7">
              <w:rPr>
                <w:rFonts w:ascii="Verdana" w:hAnsi="Verdana"/>
                <w:color w:val="000000"/>
              </w:rPr>
              <w:t xml:space="preserve">uzstādītas </w:t>
            </w:r>
            <w:r w:rsidR="00941D24">
              <w:rPr>
                <w:rFonts w:ascii="Verdana" w:hAnsi="Verdana"/>
                <w:color w:val="000000"/>
              </w:rPr>
              <w:t>vairāk nekā 80</w:t>
            </w:r>
            <w:r w:rsidR="00170FB7">
              <w:rPr>
                <w:rFonts w:ascii="Verdana" w:hAnsi="Verdana"/>
                <w:color w:val="000000"/>
              </w:rPr>
              <w:t xml:space="preserve"> stēlas, kurās iegravēti </w:t>
            </w:r>
            <w:r w:rsidR="00EC6ABC">
              <w:rPr>
                <w:rFonts w:ascii="Verdana" w:hAnsi="Verdana"/>
                <w:color w:val="000000"/>
              </w:rPr>
              <w:t xml:space="preserve">LKOK </w:t>
            </w:r>
            <w:r w:rsidR="00D25B74">
              <w:rPr>
                <w:rFonts w:ascii="Verdana" w:hAnsi="Verdana"/>
                <w:color w:val="000000"/>
              </w:rPr>
              <w:t>vārdi</w:t>
            </w:r>
            <w:r w:rsidR="00170FB7">
              <w:rPr>
                <w:rFonts w:ascii="Verdana" w:hAnsi="Verdana"/>
                <w:color w:val="000000"/>
              </w:rPr>
              <w:t>.</w:t>
            </w:r>
          </w:p>
          <w:p w:rsidR="00320FFA" w:rsidRDefault="00320FFA" w:rsidP="00170FB7">
            <w:pPr>
              <w:spacing w:after="0"/>
              <w:rPr>
                <w:rFonts w:ascii="Verdana" w:hAnsi="Verdana"/>
                <w:color w:val="000000"/>
              </w:rPr>
            </w:pPr>
          </w:p>
          <w:p w:rsidR="00320FFA" w:rsidRPr="00B94076" w:rsidRDefault="00320FFA" w:rsidP="00320FFA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320FFA" w:rsidRPr="00B94076" w:rsidRDefault="00320FFA" w:rsidP="00320FFA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320FFA" w:rsidRPr="00B94076" w:rsidRDefault="00320FFA" w:rsidP="00320FFA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modināt sabiedrībā atbildības ētiku, atbildības uzņemšanos par sevi, savu ģimeni, kopienu un valsti; </w:t>
            </w:r>
          </w:p>
          <w:p w:rsidR="00320FFA" w:rsidRPr="00320FFA" w:rsidRDefault="00320FFA" w:rsidP="00320FFA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jauniešu radošo iniciatīvu un piederības sajūtu Latvijai</w:t>
            </w:r>
            <w:r w:rsidRPr="00320FFA">
              <w:rPr>
                <w:rFonts w:ascii="Verdana" w:hAnsi="Verdana" w:cstheme="minorHAnsi"/>
              </w:rPr>
              <w:t>.</w:t>
            </w:r>
          </w:p>
          <w:p w:rsidR="00320FFA" w:rsidRPr="00B94076" w:rsidRDefault="00320FFA" w:rsidP="00320FFA">
            <w:pPr>
              <w:spacing w:after="0"/>
              <w:rPr>
                <w:rFonts w:ascii="Verdana" w:hAnsi="Verdana" w:cstheme="minorHAnsi"/>
              </w:rPr>
            </w:pPr>
          </w:p>
          <w:p w:rsidR="00320FFA" w:rsidRPr="00B94076" w:rsidRDefault="00945AF3" w:rsidP="00320FFA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K</w:t>
            </w:r>
            <w:r w:rsidR="00320FFA" w:rsidRPr="00B94076">
              <w:rPr>
                <w:rFonts w:ascii="Verdana" w:hAnsi="Verdana" w:cstheme="minorHAnsi"/>
                <w:bCs/>
              </w:rPr>
              <w:t xml:space="preserve">onkrētā pasākumu atbilstību kādam no programmas </w:t>
            </w:r>
            <w:proofErr w:type="spellStart"/>
            <w:r w:rsidR="00320FFA"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="00320FFA"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320FFA" w:rsidRPr="00B94076" w:rsidRDefault="00320FFA" w:rsidP="00320FFA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320FFA" w:rsidRPr="00B94076" w:rsidRDefault="00320FFA" w:rsidP="00320FFA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;</w:t>
            </w:r>
          </w:p>
          <w:p w:rsidR="00320FFA" w:rsidRPr="00B94076" w:rsidRDefault="00320FFA" w:rsidP="00320FF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 xml:space="preserve">Sabiedrības politiskās un kultūras līdzdalības rādītāji un to izpausmes programmas mērķa grupu segmentos. </w:t>
            </w:r>
          </w:p>
          <w:p w:rsidR="00320FFA" w:rsidRPr="00170FB7" w:rsidRDefault="00320FFA" w:rsidP="00170FB7">
            <w:pPr>
              <w:spacing w:after="0"/>
              <w:rPr>
                <w:rFonts w:ascii="Verdana" w:hAnsi="Verdana"/>
                <w:color w:val="000000"/>
              </w:rPr>
            </w:pPr>
          </w:p>
          <w:p w:rsidR="004437B8" w:rsidRPr="00B94076" w:rsidRDefault="004437B8" w:rsidP="002B7C10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A7161B" w:rsidRDefault="00170FB7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Mērķauditorija: Pašvaldību vadība, novadpētniecības entuziasti, jaunsargi, zemessargi, karavīri, visa sabiedrība.</w:t>
            </w:r>
          </w:p>
          <w:p w:rsidR="00D63D0F" w:rsidRPr="00B94076" w:rsidRDefault="00D63D0F" w:rsidP="00D63D0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D63D0F" w:rsidRPr="00B94076" w:rsidRDefault="00D63D0F" w:rsidP="00D63D0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D63D0F" w:rsidRPr="00B94076" w:rsidRDefault="00D63D0F" w:rsidP="00D63D0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D63D0F" w:rsidRPr="00B94076" w:rsidRDefault="00D63D0F" w:rsidP="00D63D0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D63D0F" w:rsidRPr="00B94076" w:rsidRDefault="00D63D0F" w:rsidP="00D63D0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D63D0F" w:rsidRPr="00B94076" w:rsidRDefault="00D63D0F" w:rsidP="00D63D0F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D63D0F" w:rsidRPr="00B94076" w:rsidRDefault="00D63D0F" w:rsidP="002B7C10">
            <w:pPr>
              <w:rPr>
                <w:rFonts w:ascii="Verdana" w:hAnsi="Verdana"/>
              </w:rPr>
            </w:pPr>
          </w:p>
          <w:p w:rsidR="004437B8" w:rsidRPr="00B94076" w:rsidRDefault="004437B8" w:rsidP="00170FB7">
            <w:pPr>
              <w:spacing w:after="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8E03E4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C6CBB">
              <w:rPr>
                <w:rFonts w:ascii="Verdana" w:hAnsi="Verdana"/>
              </w:rPr>
              <w:t>Uzstādītās s</w:t>
            </w:r>
            <w:r w:rsidR="00EC6ABC">
              <w:rPr>
                <w:rFonts w:ascii="Verdana" w:hAnsi="Verdana"/>
              </w:rPr>
              <w:t>tēlas ar iegravētajiem vārdiem saglabās</w:t>
            </w:r>
            <w:r w:rsidR="00170FB7">
              <w:rPr>
                <w:rFonts w:ascii="Verdana" w:hAnsi="Verdana"/>
              </w:rPr>
              <w:t xml:space="preserve"> piemiņu par Latvijas karavīru paveikto nākamajām paaudzēm.</w:t>
            </w:r>
          </w:p>
          <w:p w:rsidR="004E63AE" w:rsidRPr="00B94076" w:rsidRDefault="004E63AE" w:rsidP="004E63AE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4E63AE" w:rsidRPr="00B94076" w:rsidRDefault="004E63AE" w:rsidP="004E63A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zināšanas, priekšstati un izpratne par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 LKOK</w:t>
            </w: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;</w:t>
            </w:r>
          </w:p>
          <w:p w:rsidR="004E63AE" w:rsidRPr="00B94076" w:rsidRDefault="004E63AE" w:rsidP="004E63A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attīstīta piederības sajūta Latvijas valstij un dzīves vietai; </w:t>
            </w:r>
          </w:p>
          <w:p w:rsidR="004E63AE" w:rsidRPr="00B94076" w:rsidRDefault="004E63AE" w:rsidP="004E63A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attīstīta vienotības apziņa ar savu tautu, kopienu;</w:t>
            </w:r>
          </w:p>
          <w:p w:rsidR="004E63AE" w:rsidRPr="00B94076" w:rsidRDefault="004E63AE" w:rsidP="004E63A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4E63AE" w:rsidRPr="00B94076" w:rsidRDefault="004E63AE" w:rsidP="004E63A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nostiprināta drošības sajūta Latvijā;</w:t>
            </w:r>
          </w:p>
          <w:p w:rsidR="004E63AE" w:rsidRPr="00B94076" w:rsidRDefault="004E63AE" w:rsidP="004E63A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radītas jaunas tradīcijas;</w:t>
            </w:r>
          </w:p>
          <w:p w:rsidR="004E63AE" w:rsidRPr="004E63AE" w:rsidRDefault="004E63AE" w:rsidP="004E63A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170FB7" w:rsidRDefault="004437B8" w:rsidP="002B7C10">
            <w:pPr>
              <w:rPr>
                <w:rFonts w:ascii="Verdana" w:hAnsi="Verdana"/>
                <w:b/>
                <w:bCs/>
                <w:highlight w:val="yellow"/>
              </w:rPr>
            </w:pPr>
            <w:r w:rsidRPr="008E03E4">
              <w:rPr>
                <w:rFonts w:ascii="Verdana" w:hAnsi="Verdana"/>
                <w:b/>
                <w:bCs/>
              </w:rPr>
              <w:t>4.</w:t>
            </w:r>
            <w:r w:rsidRPr="008E03E4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CC3FBA" w:rsidRDefault="00CC3FBA" w:rsidP="008E03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2017.gadā 12 100 EUR</w:t>
            </w:r>
          </w:p>
          <w:p w:rsidR="004437B8" w:rsidRDefault="00CC3FBA" w:rsidP="008E03E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2019. gadā - </w:t>
            </w:r>
            <w:r w:rsidR="00A7161B" w:rsidRPr="008E03E4">
              <w:rPr>
                <w:rFonts w:ascii="Verdana" w:hAnsi="Verdana"/>
              </w:rPr>
              <w:t>3</w:t>
            </w:r>
            <w:r w:rsidR="008E03E4" w:rsidRPr="008E03E4">
              <w:rPr>
                <w:rFonts w:ascii="Verdana" w:hAnsi="Verdana"/>
              </w:rPr>
              <w:t xml:space="preserve"> </w:t>
            </w:r>
            <w:r w:rsidR="00A7161B" w:rsidRPr="008E03E4">
              <w:rPr>
                <w:rFonts w:ascii="Verdana" w:hAnsi="Verdana"/>
              </w:rPr>
              <w:t xml:space="preserve">630 EUR </w:t>
            </w:r>
            <w:r w:rsidR="00632F82">
              <w:rPr>
                <w:rFonts w:ascii="Verdana" w:hAnsi="Verdana"/>
              </w:rPr>
              <w:t>(</w:t>
            </w:r>
            <w:r w:rsidR="008E03E4">
              <w:rPr>
                <w:rFonts w:ascii="Verdana" w:hAnsi="Verdana"/>
              </w:rPr>
              <w:t>par granīta uzglabāšanu</w:t>
            </w:r>
            <w:r w:rsidR="00632F82">
              <w:rPr>
                <w:rFonts w:ascii="Verdana" w:hAnsi="Verdana"/>
              </w:rPr>
              <w:t>)</w:t>
            </w:r>
          </w:p>
          <w:p w:rsidR="00CC3FBA" w:rsidRPr="00170FB7" w:rsidRDefault="00CC3FBA" w:rsidP="008E03E4">
            <w:pPr>
              <w:rPr>
                <w:rFonts w:ascii="Verdana" w:hAnsi="Verdana"/>
                <w:highlight w:val="yellow"/>
              </w:rPr>
            </w:pPr>
            <w:bookmarkStart w:id="0" w:name="_GoBack"/>
            <w:bookmarkEnd w:id="0"/>
            <w:r w:rsidRPr="00CC3FBA">
              <w:rPr>
                <w:rFonts w:ascii="Verdana" w:hAnsi="Verdana"/>
              </w:rPr>
              <w:t>KOPĀ 15 730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56F0"/>
    <w:rsid w:val="00093C72"/>
    <w:rsid w:val="00170FB7"/>
    <w:rsid w:val="00320FFA"/>
    <w:rsid w:val="00382252"/>
    <w:rsid w:val="004437B8"/>
    <w:rsid w:val="004B4DAE"/>
    <w:rsid w:val="004E63AE"/>
    <w:rsid w:val="0052136A"/>
    <w:rsid w:val="0054079C"/>
    <w:rsid w:val="005B415F"/>
    <w:rsid w:val="00632F82"/>
    <w:rsid w:val="007A67E9"/>
    <w:rsid w:val="00811C40"/>
    <w:rsid w:val="008E03E4"/>
    <w:rsid w:val="009132F2"/>
    <w:rsid w:val="00941D24"/>
    <w:rsid w:val="00945AF3"/>
    <w:rsid w:val="00A005C4"/>
    <w:rsid w:val="00A7161B"/>
    <w:rsid w:val="00CC3FBA"/>
    <w:rsid w:val="00CC6CBB"/>
    <w:rsid w:val="00D25B74"/>
    <w:rsid w:val="00D63D0F"/>
    <w:rsid w:val="00EC6ABC"/>
    <w:rsid w:val="00F5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88D01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24</cp:revision>
  <dcterms:created xsi:type="dcterms:W3CDTF">2021-01-27T13:44:00Z</dcterms:created>
  <dcterms:modified xsi:type="dcterms:W3CDTF">2021-02-03T08:42:00Z</dcterms:modified>
</cp:coreProperties>
</file>