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4479" w:rsidRPr="008D3BF0" w:rsidRDefault="00634479" w:rsidP="00634479">
      <w:pPr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8D3BF0">
        <w:rPr>
          <w:rFonts w:ascii="Times New Roman" w:hAnsi="Times New Roman" w:cs="Times New Roman"/>
          <w:sz w:val="18"/>
          <w:szCs w:val="18"/>
        </w:rPr>
        <w:t>2. pielikums</w:t>
      </w:r>
    </w:p>
    <w:p w:rsidR="00634479" w:rsidRPr="008D3BF0" w:rsidRDefault="00634479" w:rsidP="008D3BF0">
      <w:pPr>
        <w:shd w:val="clear" w:color="auto" w:fill="FFFFFF"/>
        <w:rPr>
          <w:rFonts w:ascii="Times New Roman" w:hAnsi="Times New Roman"/>
          <w:b/>
          <w:bCs/>
          <w:sz w:val="18"/>
          <w:szCs w:val="18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2"/>
        <w:gridCol w:w="5565"/>
        <w:gridCol w:w="1329"/>
      </w:tblGrid>
      <w:tr w:rsidR="00634479" w:rsidRPr="008D3BF0" w:rsidTr="003E2079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34479" w:rsidRPr="008D3BF0" w:rsidRDefault="00634479" w:rsidP="003E2079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B21357" w:rsidRPr="008D3BF0" w:rsidRDefault="00634479" w:rsidP="00B213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634479" w:rsidRPr="008D3BF0" w:rsidRDefault="00B21357" w:rsidP="00DD632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3BF0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Pārskats pašfinansētajiem Latvijas valsts simtgadei veltītajiem pasākumiem no citām valsts budžeta programmām/apakšprogrammām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34479" w:rsidRPr="008D3BF0" w:rsidRDefault="00634479" w:rsidP="003E20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34479" w:rsidRPr="008D3BF0" w:rsidTr="00B21357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34479" w:rsidRPr="008D3BF0" w:rsidRDefault="00634479" w:rsidP="003E20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outset" w:sz="6" w:space="0" w:color="414142"/>
              <w:right w:val="nil"/>
            </w:tcBorders>
            <w:hideMark/>
          </w:tcPr>
          <w:p w:rsidR="00634479" w:rsidRPr="008D3BF0" w:rsidRDefault="00B21357" w:rsidP="003E2079">
            <w:pPr>
              <w:pStyle w:val="tvhtml"/>
              <w:spacing w:line="293" w:lineRule="atLeast"/>
              <w:jc w:val="center"/>
              <w:rPr>
                <w:sz w:val="18"/>
                <w:szCs w:val="18"/>
              </w:rPr>
            </w:pPr>
            <w:r w:rsidRPr="008D3BF0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Latvijas Nacionālais arhīvs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34479" w:rsidRPr="008D3BF0" w:rsidRDefault="00634479" w:rsidP="003E20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21357" w:rsidRPr="008D3BF0" w:rsidTr="003E2079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</w:tcPr>
          <w:p w:rsidR="00B21357" w:rsidRPr="008D3BF0" w:rsidRDefault="00B21357" w:rsidP="003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</w:tcPr>
          <w:p w:rsidR="00B21357" w:rsidRPr="008D3BF0" w:rsidRDefault="00B21357" w:rsidP="00B213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Ministrijas vai citas centrālās valsts iestādes nosaukums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</w:tcPr>
          <w:p w:rsidR="00B21357" w:rsidRPr="008D3BF0" w:rsidRDefault="00B21357" w:rsidP="003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34479" w:rsidRPr="008D3BF0" w:rsidRDefault="00634479" w:rsidP="00634479">
      <w:pPr>
        <w:pStyle w:val="Sarakstarindkopa"/>
        <w:numPr>
          <w:ilvl w:val="0"/>
          <w:numId w:val="1"/>
        </w:numPr>
        <w:shd w:val="clear" w:color="auto" w:fill="FFFFFF"/>
        <w:rPr>
          <w:rFonts w:ascii="Times New Roman" w:hAnsi="Times New Roman"/>
          <w:vanish/>
          <w:sz w:val="18"/>
          <w:szCs w:val="18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"/>
        <w:gridCol w:w="1404"/>
        <w:gridCol w:w="1249"/>
        <w:gridCol w:w="4316"/>
        <w:gridCol w:w="1329"/>
      </w:tblGrid>
      <w:tr w:rsidR="00634479" w:rsidRPr="008D3BF0" w:rsidTr="003E2079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34479" w:rsidRPr="008D3BF0" w:rsidRDefault="00634479" w:rsidP="003E20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634479" w:rsidRPr="008D3BF0" w:rsidRDefault="003A0A59" w:rsidP="00C722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 xml:space="preserve">Izstādes, kas veltītas </w:t>
            </w:r>
            <w:r w:rsidR="00937732" w:rsidRPr="008D3BF0">
              <w:rPr>
                <w:rFonts w:ascii="Times New Roman" w:hAnsi="Times New Roman" w:cs="Times New Roman"/>
                <w:sz w:val="18"/>
                <w:szCs w:val="18"/>
              </w:rPr>
              <w:t>Latvijas valstiskuma veidošanās simtgadei (norises vietas: Rīga, Alūksne, Cēsis, Daugavpils, Jēkabpils, Jelgava, Liepāja, Rēzekne, Sigulda, Tukums, Valmiera, Ventspils)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34479" w:rsidRPr="008D3BF0" w:rsidRDefault="00634479" w:rsidP="003E20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34479" w:rsidRPr="008D3BF0" w:rsidTr="003E2079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34479" w:rsidRPr="008D3BF0" w:rsidRDefault="00634479" w:rsidP="003E20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B21357" w:rsidRPr="008D3BF0" w:rsidRDefault="00937732" w:rsidP="00937732">
            <w:pPr>
              <w:pStyle w:val="tvhtml"/>
              <w:spacing w:line="293" w:lineRule="atLeast"/>
              <w:jc w:val="center"/>
              <w:rPr>
                <w:sz w:val="18"/>
                <w:szCs w:val="18"/>
              </w:rPr>
            </w:pPr>
            <w:r w:rsidRPr="008D3BF0">
              <w:rPr>
                <w:sz w:val="18"/>
                <w:szCs w:val="18"/>
              </w:rPr>
              <w:t>Norises laiks 2018</w:t>
            </w:r>
            <w:r w:rsidR="007A1CF0" w:rsidRPr="008D3BF0">
              <w:rPr>
                <w:sz w:val="18"/>
                <w:szCs w:val="18"/>
              </w:rPr>
              <w:t xml:space="preserve">. </w:t>
            </w:r>
            <w:r w:rsidRPr="008D3BF0">
              <w:rPr>
                <w:sz w:val="18"/>
                <w:szCs w:val="18"/>
              </w:rPr>
              <w:t>– 2021. gads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34479" w:rsidRPr="008D3BF0" w:rsidRDefault="00634479" w:rsidP="003E20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34479" w:rsidRPr="008D3BF0" w:rsidTr="009E0261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wBefore w:w="5" w:type="pct"/>
          <w:trHeight w:val="806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34479" w:rsidRPr="008D3BF0" w:rsidRDefault="00634479" w:rsidP="003E20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1.</w:t>
            </w: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8D3BF0">
              <w:rPr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Īss pasākuma apraksts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A33E75" w:rsidRPr="008D3BF0" w:rsidRDefault="00A33E75" w:rsidP="00A33E7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bCs/>
                <w:sz w:val="18"/>
                <w:szCs w:val="18"/>
              </w:rPr>
              <w:t>Pasākums atbilst programmas virsmērķim:</w:t>
            </w:r>
          </w:p>
          <w:p w:rsidR="002170F5" w:rsidRPr="008D3BF0" w:rsidRDefault="00C442E1" w:rsidP="00A33E7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Latvijas iedzīvotāju zināšanas un izpratne par valsts rašanos un attīstības vēsturi. </w:t>
            </w:r>
          </w:p>
          <w:p w:rsidR="003A0A59" w:rsidRPr="008D3BF0" w:rsidRDefault="003A0A59" w:rsidP="00A33E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 xml:space="preserve">Latvijas Nacionālā arhīvs (LNA) ir lielākā Latvijas valsts atmiņas institūcija ar vairāk nekā 21 miljoniem glabājamo vienību. </w:t>
            </w:r>
          </w:p>
          <w:p w:rsidR="003A0A59" w:rsidRPr="008D3BF0" w:rsidRDefault="002170F5" w:rsidP="00A33E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>LNA glabātais nacionālais dokumentārais mantojums ir nenovērtējama mūsu valsts bagātība, dokumentārā</w:t>
            </w:r>
            <w:r w:rsidR="006241C7" w:rsidRPr="008D3BF0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 xml:space="preserve"> liecība</w:t>
            </w:r>
            <w:r w:rsidR="006241C7" w:rsidRPr="008D3BF0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 xml:space="preserve"> par vēsturiskajiem notikumiem, politiskajiem procesiem, ekonomisko, sociālo un kultūras dzīvi Latvij</w:t>
            </w:r>
            <w:r w:rsidR="006241C7" w:rsidRPr="008D3BF0">
              <w:rPr>
                <w:rFonts w:ascii="Times New Roman" w:hAnsi="Times New Roman" w:cs="Times New Roman"/>
                <w:sz w:val="18"/>
                <w:szCs w:val="18"/>
              </w:rPr>
              <w:t>as teritorijā laikposmā no 13. gadsimta</w:t>
            </w: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 xml:space="preserve"> līdz mūsdienām. Tas ir vēsturisko pētījumu avots, valsts leģitimitātes pierādījums, informācija privāto sociāli tiesisko interešu aizstāvībai, daudzveidīgs un apjomīgs kultūrvēstures materiāls. </w:t>
            </w:r>
            <w:r w:rsidR="003A0A59" w:rsidRPr="008D3BF0">
              <w:rPr>
                <w:rFonts w:ascii="Times New Roman" w:hAnsi="Times New Roman" w:cs="Times New Roman"/>
                <w:sz w:val="18"/>
                <w:szCs w:val="18"/>
              </w:rPr>
              <w:t>Arhīvā glabājas dokumenti 17 valodā</w:t>
            </w:r>
            <w:r w:rsidR="006241C7" w:rsidRPr="008D3BF0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3A0A59" w:rsidRPr="008D3BF0">
              <w:rPr>
                <w:rFonts w:ascii="Times New Roman" w:hAnsi="Times New Roman" w:cs="Times New Roman"/>
                <w:sz w:val="18"/>
                <w:szCs w:val="18"/>
              </w:rPr>
              <w:t>, to formāti ir ārkārtīgi daudzveidīgi, sākot no pergamentiem, senākie no 13. gadsimta, līdz pat mūsdienu dokumentiem elektroniskā formā.</w:t>
            </w:r>
          </w:p>
          <w:p w:rsidR="003A0A59" w:rsidRPr="008D3BF0" w:rsidRDefault="002170F5" w:rsidP="00A33E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>Arhīvos glabājas dokumenti par mūsu valsts dibināšanu</w:t>
            </w:r>
            <w:r w:rsidR="003A0A59" w:rsidRPr="008D3BF0">
              <w:rPr>
                <w:rFonts w:ascii="Times New Roman" w:hAnsi="Times New Roman" w:cs="Times New Roman"/>
                <w:sz w:val="18"/>
                <w:szCs w:val="18"/>
              </w:rPr>
              <w:t xml:space="preserve"> un atjaunošanu</w:t>
            </w: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>, fotogrāfijas, skaņas un audiovizuālais materiāls par būtiskākajiem notikumiem tās vēsturē. Arhīva dokumenti ir nozīmīgi ne tikai Lat</w:t>
            </w:r>
            <w:r w:rsidR="003A0A59" w:rsidRPr="008D3BF0">
              <w:rPr>
                <w:rFonts w:ascii="Times New Roman" w:hAnsi="Times New Roman" w:cs="Times New Roman"/>
                <w:sz w:val="18"/>
                <w:szCs w:val="18"/>
              </w:rPr>
              <w:t>vijas, bet arī Eiropas vēsturei</w:t>
            </w:r>
            <w:r w:rsidR="006241C7" w:rsidRPr="008D3BF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17094" w:rsidRPr="008D3BF0" w:rsidRDefault="003A0A59" w:rsidP="00C722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>Sagaidot Latvijas valsts simtgadi un LNA dibināšanas simtgadi arhīvi, sagatavojuši izstādes, kas ļauj iepazīt</w:t>
            </w:r>
            <w:r w:rsidR="00C64941" w:rsidRPr="008D3BF0">
              <w:rPr>
                <w:rFonts w:ascii="Times New Roman" w:hAnsi="Times New Roman" w:cs="Times New Roman"/>
                <w:sz w:val="18"/>
                <w:szCs w:val="18"/>
              </w:rPr>
              <w:t>ies</w:t>
            </w: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 xml:space="preserve"> ar tajos glabātajiem dokumentiem. Izstāžu tēmas un formas izvēlētas atbilstoši arhīvā uzkrātajiem dokumentiem</w:t>
            </w:r>
            <w:r w:rsidR="00280853" w:rsidRPr="008D3BF0">
              <w:rPr>
                <w:rFonts w:ascii="Times New Roman" w:hAnsi="Times New Roman" w:cs="Times New Roman"/>
                <w:sz w:val="18"/>
                <w:szCs w:val="18"/>
              </w:rPr>
              <w:t xml:space="preserve"> un tehniskajām iespējām.</w:t>
            </w:r>
          </w:p>
          <w:p w:rsidR="005901A7" w:rsidRPr="008D3BF0" w:rsidRDefault="005901A7" w:rsidP="005901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>2018. – 2020. gadam tikušas sagatavotas un eksponētas šādas LNA struktūrvienību izstādes:</w:t>
            </w:r>
          </w:p>
          <w:p w:rsidR="005901A7" w:rsidRPr="008D3BF0" w:rsidRDefault="005901A7" w:rsidP="005901A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01A7" w:rsidRPr="008D3BF0" w:rsidRDefault="005901A7" w:rsidP="005901A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>Izstāde "Siguldai -90. Pilsētas vadība no 1928.gada līdz 2018.gadam". Siguldas ZVA</w:t>
            </w:r>
          </w:p>
          <w:p w:rsidR="005901A7" w:rsidRPr="008D3BF0" w:rsidRDefault="005901A7" w:rsidP="005901A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01A7" w:rsidRPr="008D3BF0" w:rsidRDefault="005901A7" w:rsidP="005901A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 xml:space="preserve">Digitālā izstāde Pļaviņu hidroelektrostacijas pirmsākumi sadarbībā LVA sadarbībā ar Jēkabpils ZVA. Skatāma </w:t>
            </w:r>
            <w:hyperlink r:id="rId5" w:history="1">
              <w:r w:rsidRPr="008D3BF0">
                <w:rPr>
                  <w:rStyle w:val="Hipersaite"/>
                  <w:rFonts w:ascii="Times New Roman" w:hAnsi="Times New Roman" w:cs="Times New Roman"/>
                  <w:sz w:val="18"/>
                  <w:szCs w:val="18"/>
                </w:rPr>
                <w:t>http://www.archiv.org.lv/plavinuhes</w:t>
              </w:r>
            </w:hyperlink>
          </w:p>
          <w:p w:rsidR="005901A7" w:rsidRPr="008D3BF0" w:rsidRDefault="005901A7" w:rsidP="005901A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01A7" w:rsidRPr="008D3BF0" w:rsidRDefault="005901A7" w:rsidP="005901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>Izstāde „Ieskats Liepājas pilsētas Kultūras un atpūtas parka "Pūt'vējiņi" dokumentos”. Liepājas ZVA</w:t>
            </w:r>
          </w:p>
          <w:p w:rsidR="005901A7" w:rsidRPr="008D3BF0" w:rsidRDefault="005901A7" w:rsidP="005901A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>Izstāde par Alūksnes zonālo valsts arhīvu un Alūksnes pilsētu. Alūksnes ZVA</w:t>
            </w:r>
          </w:p>
          <w:p w:rsidR="005901A7" w:rsidRPr="008D3BF0" w:rsidRDefault="005901A7" w:rsidP="00C722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0261" w:rsidRPr="008D3BF0" w:rsidRDefault="009E0261" w:rsidP="009E02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>Pasākuma atbilst sekojošiem Latvijas valsts simtgades svinību mērķiem:</w:t>
            </w:r>
          </w:p>
          <w:p w:rsidR="009E0261" w:rsidRPr="008D3BF0" w:rsidRDefault="009E0261" w:rsidP="009E02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>stiprināt valstiskuma apziņu, aktualizēt Latvijas valstiskuma vēsturi, godinot valsts dibinātājus un pieminot notikumus, kas ietekmējuši Latvijas valsts izveidi, tādējādi nostiprinot izpratni par Latvijas valstiskumu kā likumsakarīgu ilgstošas attīstības rezultātu;</w:t>
            </w:r>
          </w:p>
          <w:p w:rsidR="009E0261" w:rsidRPr="008D3BF0" w:rsidRDefault="009E0261" w:rsidP="009E02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>apliecināt Latvijas kā nacionālas un eiropeiskas 21. gadsimta valsts vērtības;</w:t>
            </w:r>
          </w:p>
          <w:p w:rsidR="009E0261" w:rsidRPr="008D3BF0" w:rsidRDefault="009E0261" w:rsidP="009E02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>daudzināt Latvijas cilvēku talantus, izcilību, uzņēmīgumu un sasniegumus;</w:t>
            </w:r>
          </w:p>
          <w:p w:rsidR="009E0261" w:rsidRPr="008D3BF0" w:rsidRDefault="009E0261" w:rsidP="009E02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>radīt paliekošas 21. gadsimta Latvijas vērtības.</w:t>
            </w:r>
          </w:p>
          <w:p w:rsidR="00C722F3" w:rsidRPr="008D3BF0" w:rsidRDefault="00C722F3" w:rsidP="009E02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4479" w:rsidRPr="008D3BF0" w:rsidTr="003E2079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wBefore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34479" w:rsidRPr="008D3BF0" w:rsidRDefault="00634479" w:rsidP="003E20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2.</w:t>
            </w: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8D3BF0">
              <w:rPr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Pasākuma mērķauditorija</w:t>
            </w: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 xml:space="preserve"> (t. sk. plānotās iedzīvotāju grupas, sasniegto iedzīvotāju skaits (tiešā un netiešā mērķauditorija), iespēja </w:t>
            </w:r>
            <w:r w:rsidRPr="008D3BF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līdzdarboties un (vai) sniegt atgriezenisko saiti, daudzveidīgu pieejamības aspektu nodrošināšana utt.)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5B762F" w:rsidRPr="008D3BF0" w:rsidRDefault="005B762F" w:rsidP="005B762F">
            <w:pPr>
              <w:spacing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Pasākuma mērķauditorijas atbilstoši Latvijas simtgades svinību plānošanas dokumentos definētajām:</w:t>
            </w:r>
          </w:p>
          <w:p w:rsidR="00DD6328" w:rsidRPr="008D3BF0" w:rsidRDefault="00DD6328" w:rsidP="00DD6328">
            <w:pPr>
              <w:pStyle w:val="Sarakstarindkopa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8D3BF0">
              <w:rPr>
                <w:rFonts w:ascii="Times New Roman" w:hAnsi="Times New Roman"/>
                <w:bCs/>
                <w:sz w:val="18"/>
                <w:szCs w:val="18"/>
              </w:rPr>
              <w:t>Latvijas un citu valstu arhīvu darba speciālisti;</w:t>
            </w:r>
          </w:p>
          <w:p w:rsidR="009E0261" w:rsidRPr="008D3BF0" w:rsidRDefault="009E0261" w:rsidP="00DD6328">
            <w:pPr>
              <w:pStyle w:val="Sarakstarindkopa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D3BF0">
              <w:rPr>
                <w:rFonts w:ascii="Times New Roman" w:hAnsi="Times New Roman"/>
                <w:bCs/>
                <w:sz w:val="18"/>
                <w:szCs w:val="18"/>
              </w:rPr>
              <w:t>jaunieši;</w:t>
            </w:r>
          </w:p>
          <w:p w:rsidR="009E0261" w:rsidRPr="008D3BF0" w:rsidRDefault="009E0261" w:rsidP="009E0261">
            <w:pPr>
              <w:pStyle w:val="Sarakstarindkopa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color w:val="auto"/>
                <w:sz w:val="18"/>
                <w:szCs w:val="18"/>
                <w:lang w:val="lv-LV"/>
              </w:rPr>
            </w:pPr>
            <w:r w:rsidRPr="008D3BF0">
              <w:rPr>
                <w:rFonts w:ascii="Times New Roman" w:hAnsi="Times New Roman"/>
                <w:bCs/>
                <w:color w:val="auto"/>
                <w:sz w:val="18"/>
                <w:szCs w:val="18"/>
                <w:shd w:val="clear" w:color="auto" w:fill="FFFFFF"/>
                <w:lang w:val="lv-LV"/>
              </w:rPr>
              <w:t>seniori;</w:t>
            </w:r>
          </w:p>
          <w:p w:rsidR="009E0261" w:rsidRPr="008D3BF0" w:rsidRDefault="009E0261" w:rsidP="009E0261">
            <w:pPr>
              <w:pStyle w:val="Sarakstarindkopa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color w:val="auto"/>
                <w:sz w:val="18"/>
                <w:szCs w:val="18"/>
                <w:lang w:val="lv-LV"/>
              </w:rPr>
            </w:pPr>
            <w:r w:rsidRPr="008D3BF0">
              <w:rPr>
                <w:rFonts w:ascii="Times New Roman" w:hAnsi="Times New Roman"/>
                <w:bCs/>
                <w:color w:val="auto"/>
                <w:sz w:val="18"/>
                <w:szCs w:val="18"/>
                <w:shd w:val="clear" w:color="auto" w:fill="FFFFFF"/>
                <w:lang w:val="lv-LV"/>
              </w:rPr>
              <w:lastRenderedPageBreak/>
              <w:t>Latvijas mazākumtautību iedzīvotāji;</w:t>
            </w:r>
          </w:p>
          <w:p w:rsidR="009E0261" w:rsidRPr="008D3BF0" w:rsidRDefault="009E0261" w:rsidP="009E0261">
            <w:pPr>
              <w:pStyle w:val="Sarakstarindkopa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color w:val="auto"/>
                <w:sz w:val="18"/>
                <w:szCs w:val="18"/>
                <w:lang w:val="lv-LV"/>
              </w:rPr>
            </w:pPr>
            <w:r w:rsidRPr="008D3BF0">
              <w:rPr>
                <w:rFonts w:ascii="Times New Roman" w:hAnsi="Times New Roman"/>
                <w:bCs/>
                <w:color w:val="auto"/>
                <w:sz w:val="18"/>
                <w:szCs w:val="18"/>
                <w:shd w:val="clear" w:color="auto" w:fill="FFFFFF"/>
                <w:lang w:val="lv-LV"/>
              </w:rPr>
              <w:t>Latvijas reģionu iedzīvotāji;</w:t>
            </w:r>
          </w:p>
          <w:p w:rsidR="009E0261" w:rsidRPr="008D3BF0" w:rsidRDefault="009E0261" w:rsidP="009E0261">
            <w:pPr>
              <w:pStyle w:val="Sarakstarindkopa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color w:val="auto"/>
                <w:sz w:val="18"/>
                <w:szCs w:val="18"/>
                <w:lang w:val="lv-LV"/>
              </w:rPr>
            </w:pPr>
            <w:r w:rsidRPr="008D3BF0">
              <w:rPr>
                <w:rFonts w:ascii="Times New Roman" w:hAnsi="Times New Roman"/>
                <w:bCs/>
                <w:color w:val="auto"/>
                <w:sz w:val="18"/>
                <w:szCs w:val="18"/>
                <w:shd w:val="clear" w:color="auto" w:fill="FFFFFF"/>
                <w:lang w:val="lv-LV"/>
              </w:rPr>
              <w:t>tautieši ārvalstīs;</w:t>
            </w:r>
          </w:p>
          <w:p w:rsidR="009E0261" w:rsidRPr="008D3BF0" w:rsidRDefault="009E0261" w:rsidP="009E0261">
            <w:pPr>
              <w:pStyle w:val="Sarakstarindkopa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color w:val="auto"/>
                <w:sz w:val="18"/>
                <w:szCs w:val="18"/>
                <w:lang w:val="lv-LV"/>
              </w:rPr>
            </w:pPr>
            <w:r w:rsidRPr="008D3BF0">
              <w:rPr>
                <w:rFonts w:ascii="Times New Roman" w:hAnsi="Times New Roman"/>
                <w:bCs/>
                <w:color w:val="auto"/>
                <w:sz w:val="18"/>
                <w:szCs w:val="18"/>
                <w:shd w:val="clear" w:color="auto" w:fill="FFFFFF"/>
                <w:lang w:val="lv-LV"/>
              </w:rPr>
              <w:t>ārvalstu viesi;</w:t>
            </w:r>
          </w:p>
          <w:p w:rsidR="00594A56" w:rsidRPr="008D3BF0" w:rsidRDefault="009E0261" w:rsidP="00594A56">
            <w:pPr>
              <w:pStyle w:val="Sarakstarindkopa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color w:val="auto"/>
                <w:sz w:val="18"/>
                <w:szCs w:val="18"/>
                <w:lang w:val="lv-LV"/>
              </w:rPr>
            </w:pPr>
            <w:r w:rsidRPr="008D3BF0">
              <w:rPr>
                <w:rFonts w:ascii="Times New Roman" w:hAnsi="Times New Roman"/>
                <w:bCs/>
                <w:color w:val="auto"/>
                <w:sz w:val="18"/>
                <w:szCs w:val="18"/>
                <w:shd w:val="clear" w:color="auto" w:fill="FFFFFF"/>
                <w:lang w:val="lv-LV"/>
              </w:rPr>
              <w:t>citi</w:t>
            </w:r>
          </w:p>
        </w:tc>
      </w:tr>
      <w:tr w:rsidR="00634479" w:rsidRPr="008D3BF0" w:rsidTr="003E2079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wBefore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34479" w:rsidRPr="008D3BF0" w:rsidRDefault="00634479" w:rsidP="003E207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3. Pasākumu rezultātu ilgtspēja/paliekošā vērtība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5901A7" w:rsidRPr="008D3BF0" w:rsidRDefault="005901A7" w:rsidP="00594A5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>Sagatavots plašs un daudzveidīgs izstāžu piedāvājums dažādām interesentu grupām. Tematisko izstāžu klāstu plānots papildināt atbilstoši arhīvu darba plāniem 2021. gadā.</w:t>
            </w:r>
          </w:p>
          <w:p w:rsidR="00594A56" w:rsidRPr="008D3BF0" w:rsidRDefault="00594A56" w:rsidP="00594A5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 xml:space="preserve">Pasākumā identificēto paliekošo vērtību veidi: </w:t>
            </w:r>
          </w:p>
          <w:p w:rsidR="00594A56" w:rsidRPr="008D3BF0" w:rsidRDefault="00594A56" w:rsidP="00594A5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 xml:space="preserve">radītas jaunas zināšanas, priekšstati un izpratne par Latvijas </w:t>
            </w:r>
            <w:r w:rsidR="00C83C6B" w:rsidRPr="008D3BF0">
              <w:rPr>
                <w:rFonts w:ascii="Times New Roman" w:hAnsi="Times New Roman" w:cs="Times New Roman"/>
                <w:sz w:val="18"/>
                <w:szCs w:val="18"/>
              </w:rPr>
              <w:t xml:space="preserve">valstiskuma </w:t>
            </w:r>
            <w:r w:rsidR="001535CA" w:rsidRPr="008D3BF0">
              <w:rPr>
                <w:rFonts w:ascii="Times New Roman" w:hAnsi="Times New Roman" w:cs="Times New Roman"/>
                <w:sz w:val="18"/>
                <w:szCs w:val="18"/>
              </w:rPr>
              <w:t>veidošanos</w:t>
            </w:r>
            <w:r w:rsidR="00C83C6B" w:rsidRPr="008D3BF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DD6328" w:rsidRPr="008D3BF0">
              <w:rPr>
                <w:rFonts w:ascii="Times New Roman" w:hAnsi="Times New Roman" w:cs="Times New Roman"/>
                <w:sz w:val="18"/>
                <w:szCs w:val="18"/>
              </w:rPr>
              <w:t xml:space="preserve"> Latvijas nacionālajām kultūras iestāžu t. sk. LNA lomu;</w:t>
            </w:r>
            <w:r w:rsidR="00C83C6B" w:rsidRPr="008D3B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F74D2" w:rsidRPr="008D3BF0" w:rsidRDefault="00594A56" w:rsidP="00AF74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>nostiprināts lepnums par Latvijas valsti;</w:t>
            </w:r>
          </w:p>
          <w:p w:rsidR="00AF74D2" w:rsidRPr="008D3BF0" w:rsidRDefault="00AF74D2" w:rsidP="00AF74D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8D3BF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radīta jauna kultūras pieredze un emocijas;</w:t>
            </w:r>
          </w:p>
          <w:p w:rsidR="00DD6328" w:rsidRPr="008D3BF0" w:rsidRDefault="00DD6328" w:rsidP="00DD63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 xml:space="preserve">attīstīta piederības sajūta Latvijas valstij un dzīves vietai; </w:t>
            </w:r>
          </w:p>
          <w:p w:rsidR="00DD6328" w:rsidRPr="008D3BF0" w:rsidRDefault="00DD6328" w:rsidP="00DD63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>radīta jauna kultūras pieredze un emocijas;</w:t>
            </w:r>
          </w:p>
          <w:p w:rsidR="00DD6328" w:rsidRPr="008D3BF0" w:rsidRDefault="00DD6328" w:rsidP="00DD63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>radītas jaunas tradīcijas;</w:t>
            </w:r>
          </w:p>
          <w:p w:rsidR="00DD6328" w:rsidRPr="008D3BF0" w:rsidRDefault="00DD6328" w:rsidP="00DD6328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>aktualizēts un/vai radīts jauns (tostarp digitāls) mantojums</w:t>
            </w:r>
          </w:p>
          <w:p w:rsidR="00634479" w:rsidRPr="008D3BF0" w:rsidRDefault="00594A56" w:rsidP="00AF74D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sz w:val="18"/>
                <w:szCs w:val="18"/>
              </w:rPr>
              <w:t>ieguldījums valsts tēla popularizēšanā un atpazīstamības veicināšanā ārvalstīs.</w:t>
            </w:r>
          </w:p>
        </w:tc>
      </w:tr>
      <w:tr w:rsidR="00634479" w:rsidRPr="008D3BF0" w:rsidTr="003E2079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wBefore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634479" w:rsidRPr="008D3BF0" w:rsidRDefault="00634479" w:rsidP="003E207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3B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4.Pasākuma īstenošanai izmantotais valsts budžeta finansējuma apmērs 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896315" w:rsidRPr="00896315" w:rsidRDefault="00896315" w:rsidP="003E2079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00 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euro</w:t>
            </w:r>
            <w:bookmarkStart w:id="0" w:name="_GoBack"/>
            <w:bookmarkEnd w:id="0"/>
          </w:p>
          <w:p w:rsidR="00CF7D4C" w:rsidRPr="00896315" w:rsidRDefault="00896315" w:rsidP="003E20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6315">
              <w:rPr>
                <w:rFonts w:ascii="Times New Roman" w:eastAsia="Times New Roman" w:hAnsi="Times New Roman" w:cs="Times New Roman"/>
                <w:sz w:val="18"/>
                <w:szCs w:val="18"/>
              </w:rPr>
              <w:t>saskaņā ar LNA darba plānu</w:t>
            </w:r>
          </w:p>
        </w:tc>
      </w:tr>
    </w:tbl>
    <w:p w:rsidR="00581964" w:rsidRPr="008D3BF0" w:rsidRDefault="00581964">
      <w:pPr>
        <w:rPr>
          <w:rFonts w:ascii="Times New Roman" w:hAnsi="Times New Roman" w:cs="Times New Roman"/>
          <w:sz w:val="18"/>
          <w:szCs w:val="18"/>
        </w:rPr>
      </w:pPr>
    </w:p>
    <w:p w:rsidR="00004F3C" w:rsidRPr="008D3BF0" w:rsidRDefault="00004F3C">
      <w:pPr>
        <w:rPr>
          <w:rFonts w:ascii="Times New Roman" w:hAnsi="Times New Roman" w:cs="Times New Roman"/>
          <w:sz w:val="18"/>
          <w:szCs w:val="18"/>
        </w:rPr>
      </w:pPr>
    </w:p>
    <w:sectPr w:rsidR="00004F3C" w:rsidRPr="008D3BF0" w:rsidSect="002315EE">
      <w:pgSz w:w="11906" w:h="16838"/>
      <w:pgMar w:top="709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F13F6"/>
    <w:multiLevelType w:val="multilevel"/>
    <w:tmpl w:val="00785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512DDB"/>
    <w:multiLevelType w:val="hybridMultilevel"/>
    <w:tmpl w:val="D45EB3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E86004"/>
    <w:multiLevelType w:val="hybridMultilevel"/>
    <w:tmpl w:val="9F38C1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7511E9"/>
    <w:multiLevelType w:val="hybridMultilevel"/>
    <w:tmpl w:val="8AECF466"/>
    <w:lvl w:ilvl="0" w:tplc="40685AD8">
      <w:start w:val="1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479"/>
    <w:rsid w:val="00004F3C"/>
    <w:rsid w:val="000139E1"/>
    <w:rsid w:val="000B7F5C"/>
    <w:rsid w:val="0015292E"/>
    <w:rsid w:val="001535CA"/>
    <w:rsid w:val="002170F5"/>
    <w:rsid w:val="002265E4"/>
    <w:rsid w:val="00230B8C"/>
    <w:rsid w:val="002315EE"/>
    <w:rsid w:val="00237428"/>
    <w:rsid w:val="0026429F"/>
    <w:rsid w:val="00280853"/>
    <w:rsid w:val="002F6811"/>
    <w:rsid w:val="003A0A59"/>
    <w:rsid w:val="003E2079"/>
    <w:rsid w:val="00581964"/>
    <w:rsid w:val="005901A7"/>
    <w:rsid w:val="00594A56"/>
    <w:rsid w:val="005B762F"/>
    <w:rsid w:val="006241C7"/>
    <w:rsid w:val="00634479"/>
    <w:rsid w:val="006973BE"/>
    <w:rsid w:val="006E06BA"/>
    <w:rsid w:val="0070338C"/>
    <w:rsid w:val="007034A1"/>
    <w:rsid w:val="00731E71"/>
    <w:rsid w:val="007A1CF0"/>
    <w:rsid w:val="00855727"/>
    <w:rsid w:val="00896315"/>
    <w:rsid w:val="008C2C06"/>
    <w:rsid w:val="008C4ACD"/>
    <w:rsid w:val="008D3BF0"/>
    <w:rsid w:val="00917094"/>
    <w:rsid w:val="00937732"/>
    <w:rsid w:val="009D2B26"/>
    <w:rsid w:val="009E0261"/>
    <w:rsid w:val="00A25084"/>
    <w:rsid w:val="00A33E75"/>
    <w:rsid w:val="00AB6750"/>
    <w:rsid w:val="00AF74D2"/>
    <w:rsid w:val="00B21357"/>
    <w:rsid w:val="00B71312"/>
    <w:rsid w:val="00BA5041"/>
    <w:rsid w:val="00BF0551"/>
    <w:rsid w:val="00C442E1"/>
    <w:rsid w:val="00C64941"/>
    <w:rsid w:val="00C722F3"/>
    <w:rsid w:val="00C83C6B"/>
    <w:rsid w:val="00CF7D4C"/>
    <w:rsid w:val="00D27446"/>
    <w:rsid w:val="00DD6328"/>
    <w:rsid w:val="00E849B0"/>
    <w:rsid w:val="00E923EE"/>
    <w:rsid w:val="00FB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9052"/>
  <w15:docId w15:val="{28867ADF-F30E-40BF-BA6E-9C3218D33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634479"/>
    <w:pPr>
      <w:spacing w:after="120"/>
      <w:jc w:val="both"/>
    </w:pPr>
    <w:rPr>
      <w:rFonts w:asciiTheme="minorHAnsi" w:hAnsiTheme="minorHAnsi" w:cstheme="minorBidi"/>
      <w:sz w:val="22"/>
      <w:szCs w:val="22"/>
    </w:rPr>
  </w:style>
  <w:style w:type="paragraph" w:styleId="Virsraksts1">
    <w:name w:val="heading 1"/>
    <w:basedOn w:val="Parasts"/>
    <w:link w:val="Virsraksts1Rakstz"/>
    <w:uiPriority w:val="9"/>
    <w:qFormat/>
    <w:rsid w:val="00004F3C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Parasts"/>
    <w:link w:val="SarakstarindkopaRakstz"/>
    <w:uiPriority w:val="34"/>
    <w:qFormat/>
    <w:rsid w:val="00634479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SarakstarindkopaRakstz">
    <w:name w:val="Saraksta rindkopa Rakstz."/>
    <w:aliases w:val="2 Rakstz.,Normal bullet 2 Rakstz.,Bullet list Rakstz.,Saistīto dokumentu saraksts Rakstz.,Syle 1 Rakstz.,Numurets Rakstz.,H&amp;P List Paragraph Rakstz.,Krāsains saraksts — izcēlums 11 Rakstz.,Strip Rakstz.,Citation List Rakstz."/>
    <w:link w:val="Sarakstarindkopa"/>
    <w:uiPriority w:val="34"/>
    <w:qFormat/>
    <w:locked/>
    <w:rsid w:val="00634479"/>
    <w:rPr>
      <w:rFonts w:ascii="Calibri" w:eastAsia="Calibri" w:hAnsi="Calibri"/>
      <w:color w:val="000000"/>
      <w:sz w:val="22"/>
      <w:szCs w:val="20"/>
      <w:lang w:val="en-AU"/>
    </w:rPr>
  </w:style>
  <w:style w:type="paragraph" w:customStyle="1" w:styleId="tvhtml">
    <w:name w:val="tv_html"/>
    <w:basedOn w:val="Parasts"/>
    <w:rsid w:val="0063447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raststmeklis">
    <w:name w:val="Normal (Web)"/>
    <w:basedOn w:val="Parasts"/>
    <w:uiPriority w:val="99"/>
    <w:unhideWhenUsed/>
    <w:rsid w:val="00B2135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NoneA">
    <w:name w:val="None A"/>
    <w:rsid w:val="00B21357"/>
    <w:rPr>
      <w:lang w:val="de-DE"/>
    </w:rPr>
  </w:style>
  <w:style w:type="character" w:styleId="Hipersaite">
    <w:name w:val="Hyperlink"/>
    <w:basedOn w:val="Noklusjumarindkopasfonts"/>
    <w:uiPriority w:val="99"/>
    <w:unhideWhenUsed/>
    <w:rsid w:val="00C442E1"/>
    <w:rPr>
      <w:color w:val="0000FF" w:themeColor="hyperlink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C442E1"/>
    <w:rPr>
      <w:color w:val="800080" w:themeColor="followedHyperlink"/>
      <w:u w:val="single"/>
    </w:rPr>
  </w:style>
  <w:style w:type="character" w:styleId="Izteiksmgs">
    <w:name w:val="Strong"/>
    <w:basedOn w:val="Noklusjumarindkopasfonts"/>
    <w:uiPriority w:val="22"/>
    <w:qFormat/>
    <w:rsid w:val="00917094"/>
    <w:rPr>
      <w:b/>
      <w:bCs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004F3C"/>
    <w:rPr>
      <w:rFonts w:eastAsia="Times New Roman"/>
      <w:b/>
      <w:bCs/>
      <w:kern w:val="36"/>
      <w:sz w:val="48"/>
      <w:szCs w:val="48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004F3C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004F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9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14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8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9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1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9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0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3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48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14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31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37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1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rchiv.org.lv/plavinuh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2766</Words>
  <Characters>1578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Latvijas Nacionālais arhīvs</Company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Antra_Mazura</dc:creator>
  <cp:lastModifiedBy>Ilze Tormane-Kļaviņa</cp:lastModifiedBy>
  <cp:revision>4</cp:revision>
  <dcterms:created xsi:type="dcterms:W3CDTF">2021-02-15T11:25:00Z</dcterms:created>
  <dcterms:modified xsi:type="dcterms:W3CDTF">2021-02-15T12:41:00Z</dcterms:modified>
</cp:coreProperties>
</file>