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25-TA-2357: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5. novembra noteikumos Nr. 701 "Modernizācijas fonda finansēto projektu atklāta konkursa "Energoefektivitātes paaugstināšana transporta sektorā – atbalsts elektromobiļu un to uzlādes infrastruktūras ieviešanai" nolikums"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(08.11.2024.)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04.08.2026. 20:31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5. novembra noteikumos Nr. 701 "Modernizācijas fonda finansēto projektu atklāta konkursa "Energoefektivitātes paaugstināšana transporta sektorā – atbalsts elektromobiļu un to uzlādes infrastruktūras ieviešanai"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Atkārtoti uzturam iepriekš izteiktos iebildumus par noteikumu projektā paredzēto personas datu apstrādi un tās samērīguma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anotācijā ietvertais skaidrojums, ka “paļaušanās vienīgi uz projekta iesniedzēja apliecinājumu neradītu pietiekamu aizsardzību pret nepatiesas informācijas sniegšanas risku un nenodrošinātu efektīvu publisko finanšu līdzekļu aizsardzību”, nav uzskatāms par pietiekamu personas datu, tostarp sodāmības datu, apstrādes nepieciešamības un samērīguma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joprojām nav pietiekami pamatots personu loks, attiecībā uz kurām paredzēta informācijas iegūšana no valsts informācijas sistēmas "Sodu reģistrs". Īpaši vēršam uzmanību uz pilnvarotajām personām, jo no anotācijas un noteikumu projekta nav saprotams, kāds pilnvarojuma apjoms ir pietiekams šādas pārbaudes veikšanai. Piemēram, ja persona ir pilnvarota vienīgi iesniegt dokumentus vai veikt atsevišķas procesuālas darbības projekta iesniedzēja vārdā, nav skaidrs, kādēļ attiecībā uz šādu personu būtu nepieciešami un samērīgi iegūt un apstrādāt datus par sodāmību.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anotācijā nav veikta analīze par to, kādēļ konkrētā mērķa sasniegšanai ir nepieciešama informācijas iegūšana tieši no valsts informācijas sistēmas "Sodu reģistrs", kā arī nav izvērtēti alternatīvi, personas tiesības mazāk ierobežojoši risinājumi. Nav arī skaidrots, kādēļ ar projekta iesniedzēja apliecinājumu, paredzot atbildību par nepatiesu ziņu sniegšanu, nebūtu iespējams nodrošināt attiecīgo prasību izpildes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joprojām nav skaidrs iegūstamās informācijas apjoms. No anotācijas nav saprotams, vai paredzēts saņemt tikai informāciju par personas atbilstību vai neatbilstību konkrētam kritērijam, piemēram, apliecinājumu par sodāmības esību vai neesību, vai arī tiks iegūti plašāki dati no Sodu reģistra. Līdz ar to nav iespējams izvērtēt paredzētās datu apstrādes atbilstību datu minimizācijas un samērīguma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anotāciju ar izvērstu nepieciešamības un samērīguma izvērtējumu, kā arī pamatot, kādēļ izvēlētais risinājums ir samērīgs un kādēļ konkrētā mērķa sasniegšanai nav iespējams izmantot personas tiesības mazāk ierobežojošus līdzekļus. Turklāt lūdzam pamatot katras personu kategorijas iekļaušanu pārbaudāmo personu lokā, īpaši attiecībā uz pilnvarotajām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jautājums pēc būtības pārrunāts ar Tieslietu ministrijas pārstāvjiem. Anotācija papildināta ar papildus skaidrojumu, kas attiecas uz pilnvarotajām personām.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13 </w:t>
            </w:r>
            <w:r w:rsidR="00000000" w:rsidRPr="00000000" w:rsidDel="00000000">
              <w:rPr>
                <w:rtl w:val="0"/>
              </w:rPr>
              <w:t xml:space="preserve">panta</w:t>
            </w:r>
            <w:r w:rsidR="00000000" w:rsidRPr="00000000" w:rsidDel="00000000">
              <w:rPr>
                <w:rtl w:val="0"/>
              </w:rPr>
              <w:t xml:space="preserve"> ceturto daļu un </w:t>
            </w:r>
            <w:r w:rsidR="00000000" w:rsidRPr="00000000" w:rsidDel="00000000">
              <w:rPr>
                <w:rtl w:val="0"/>
              </w:rPr>
              <w:t xml:space="preserve">Klimatnoturības un ekonomiskās ilgtspējas likuma</w:t>
            </w:r>
            <w:r w:rsidR="00000000" w:rsidRPr="00000000" w:rsidDel="00000000">
              <w:rPr>
                <w:rtl w:val="0"/>
              </w:rPr>
              <w:t xml:space="preserve"> 18. panta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 joprojām uztur pēc būtības iepriekš sniegto iebildumu par Modernizācijas fonda finansējuma sadalījumu starp projektu iesniedzēju grupām. Izziņā LPS iepriekšējais iebildums norādīts ka ņemts vērā, anotāciju papildinot ar skaidrojumu, ka pašvaldībām un tiešās pārvaldes iestādēm paredzēti 1 000 000 euro, savukārt komersantiem, tostarp pašvaldību kapitālsabiedrībām, — 4 000 000 euro. Tomēr noteikumu projektā finansējuma sadalījums nav mainīts un nav veikts pašvaldību un pašvaldību kapitālsabiedrību faktiskā un prognozētā pieprasījuma izvērtējums. LPS kā risku redz ka vienlaikus ar noteikumu projektu 4 000 000 euro finansējuma grupas saņēmēju loks tiek būtiski paplašināts, </w:t>
            </w:r>
            <w:r w:rsidR="00000000" w:rsidRPr="00000000" w:rsidDel="00000000">
              <w:rPr>
                <w:b w:val="1"/>
                <w:u w:val="single"/>
                <w:rtl w:val="0"/>
              </w:rPr>
              <w:t xml:space="preserve">tajā papildus iekļaujot lauksaimniecības produktu primāros ražotājus un lauksaimniecības un mežsaimniecības pakalpojumu kooperatīvās sabiedrības.</w:t>
            </w:r>
            <w:r w:rsidR="00000000" w:rsidRPr="00000000" w:rsidDel="00000000">
              <w:rPr>
                <w:rtl w:val="0"/>
              </w:rPr>
              <w:t xml:space="preserve"> Tādējādi pašvaldību kapitālsabiedrībām palielinās konkurence par finansējumu, bet tām netiek garantēta atsevišķa finansējuma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ka pašvaldību kapitālsabiedrības nodrošina sabiedrībai būtiskus pakalpojumus un pašvaldību autonomo funkciju izpildi, tostarp sabiedriskā transporta, ūdenssaimniecības, siltumapgādes, atkritumu apsaimniekošanas un teritoriju uzturēšanas jomā. Šo pakalpojumu nodrošināšanai izmantotā transporta elektrifikācija rada ilgtermiņa sabiedrisko labumu un veicina pašvaldību, reģionālo un valsts klimata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LPS lūdz pirms noteikumu projekta tālākas virzības apzināt pašvaldību un pašvaldību kapitālsabiedrību faktisko un prognozēto projektu pieprasījumu un izvērtēt iespēju pašvaldībām un pašvaldību kapitālsabiedrībām noteikt atsevišķu un pietiekamu garantēto finansējuma apjomu. LPS redzējumā svarīgi būtu izveidot arī pašvaldību kapitālsabiedrībām atsevišķu apakškvotu noteikumu 13.2. apakšpunktā paredzētā finansējuma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būtu nepieciešams papildināt anotāciju ar lauksaimniecības nozares saņēmēju iekļaušanas ietekmes izvērtējumu uz finansējuma pieejamību pašvaldību kapitālsabiedrībām un izvērtēt vai EIB apstiprinātais investīciju priekšlikums pieļauj finansējuma proporciju maiņu vai garantētas apakškvotas noteikšanu pašvaldību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informējam, ka šis noteikumu projekts paredz grozījumus jau iepriekš apstiprinātā atbalsta programmā un finansējuma sadalījumu starp projektu iesniedzēju grupām nav paredzēts mainīt. Vēršam uzmanību, ka ne līdz šim, nedz arī šobrīd nepastāv pamatotas bažas par būtisku konkurences paaugstināšanos pašvaldību kapitālsabiedrībām, ņemot vērā pašvaldību kapitālsabiedrību interesi par dalību šajā konkursā. Konkursa pirmo divu kārtu ietvaros atbalsta programmas sniegtās iespējas ir izmantojusi viena pašvaldības kapitālsabiedrība, kas uzskatāmi parāda, ka šīs atbalsta programmas ietvaros konkurence nav pat pašvaldību kapitālsabiedrību starpā.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ņemt vērā, ka ministrijas mērķis ir nodrošināt no Modernizācijas fonda saņemto līdzekļu savlaicīgu izlietojumu atbilstoši Modernizācijas fonda darbības nosacījumiem, t.i., atbalsta programmas īstenošanas ilgums nedrīkst pārsniegt piecus gadus. Ņemot vērā projektu iesniedzēju līdzšinējo aktivitāti, redzams, ka līdz šim projektu iesniedzēju interese ir bijusi zema, attiecīgi ministrija ir pārskatījusi ne vien atbalsta programmas nosacījumus, bet arī projektu iesniedzējus - atbalsta programmas ietvaros pieejamā finansējuma saņēmējus. Šo izmaiņu mērķis nav mazināt pašvaldību kapitālsabiedrību piekļuvi finansējumam, bet gan pārskatīt atbalsta programmas nosacījumus, lai nodrošinātu noteiktajam mērķim pieejamā finansējuma izlietojumu, un šīs izmaiņas ir veiktas, balstoties uz līdzšinējo finansējuma apguvi un projektu iesniedzēju interesi.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20. jūnijā stājās spēkā Ministru kabineta 2026. gada 16. jūnija noteikumi Nr. 335 “Iekšlietu digitālā centra nolikums”, ar kuriem Iekšlietu ministrijas Informācijas centra nosaukums mainīts uz Iekšlietu digitālo centru, attiecīgi precizēt projekta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Iekšlietu digitālais centrs varētu viennozīmīgi noteikt izsniedzamo ziņu apjomu un nodrošināt attiecīgo ziņu atlasi, papildināt projekta anotāciju, norādot konkrētus Krimināllikuma pantus, pēc kuriem veicama pārbaude, vai aprakstot atlases mehānismu, kas ļauj pārbaudīt, vai attiecīgā persona ir sodīta par tīšu noziedzīgu nodarījumu un sodāmība par to nav noņemta vai dzēsta.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ņemot vērā konsultāciju ar Tieslietu ministriju, ir mainīta 11.2. apakšpunkta redakcija (noteikumu konsolidētajā versijā), attiecīgi 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ir sodīta par tīšu noziedzīgu nodarījumu, ja sodāmība par to nav noņemta vai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1.10. apakšpunktā (jeb Ministru kabineta 2024. gada 5. novembra noteikumu Nr. 701 "Modernizācijas fonda finansēto projektu atklāta konkursa "Energoefektivitātes paaugstināšana transporta sektorā – atbalsts elektromobiļu un to uzlādes infrastruktūras ieviešanai" nolikums" (turpmāk – Noteikumi Nr. 701) 11.2. punktā) noteiktā ierobežojuma tiesiskumu, nepieciešamību un samērīgumu, tai skaitā izvērtējot alternatīvos risinājumus konkrētā mērķa sasniegšanai, to vērtējot kopsakarā ar Tieslietu ministrijas iebildumu saistībā ar likuma "Par piesārņojumu" 32.</w:t>
            </w:r>
            <w:r w:rsidR="00000000" w:rsidRPr="00000000" w:rsidDel="00000000">
              <w:rPr>
                <w:vertAlign w:val="superscript"/>
                <w:rtl w:val="0"/>
              </w:rPr>
              <w:t xml:space="preserve">13</w:t>
            </w:r>
            <w:r w:rsidR="00000000" w:rsidRPr="00000000" w:rsidDel="00000000">
              <w:rPr>
                <w:rtl w:val="0"/>
              </w:rPr>
              <w:t xml:space="preserve"> panta ceturtajā daļā un Klimatnoturības un ekonomiskās ilgtspējas likuma 18. panta piektajā daļā noteikto deleģējumu Ministru kabinetam izdot attiecīgos noteikumus, kā arī iespējamību tajos personai paredzēt ierobežojumus saistībā ar sodāmības faktu.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noteikumu projekta 4.0. redakcijas 1.10. apakšpunkts (jeb noteikumu Nr. 701 11.2. punkts) paredz, ka konkursa ietvaros finansējums projekta īstenošanai netiek piešķirts, ja projekta iesniedzējs vai persona, kura ir projekta iesniedzēja valdes vai padomes loceklis vai prokūrists, vai persona, kura ir pilnvarota pārstāvēt projekta iesniedzēju, ir sodīta par tīšu noziedzīgu nodarījumu, ja sodāmība par to nav noņemta vai dzēsta. Ja iepriekš minētā izvērtējuma ietvaros tiek secināts, ka likumā "Par piesārņojumu" un Klimatnoturības un ekonomiskās ilgtspējas likumā noteiktais deleģējums aptver iespēju Ministru kabineta noteikumos paredzēt ierobežojumus saņemt finansējumu saistībā ar sodāmības faktu, tad aicinām pārskatīt un precizēt konkrētā ierobežojuma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attiecīgais ierobežojums ir piesaistīts sodāmības faktam un aptver visus Krimināllikuma sevišķajā daļā noteiktos tīšos noziedzīgos nodarījumus neatkarīgi no izdarītā nodarījuma rakstura un smaguma. Vēršam uzmanību, ka ir nepieciešams izvērtēt, vai projekta iesniedzēja valdes vai padomes locekļa vai prokūrista, vai personas, kura ir pilnvarota pārstāvēt projekta iesniedzēju kompetence, darba pienākumi un tā specifika ir tāda, ka ierobežojums būtu jāattiecina uz visiem Krimināllikumā iekļautajiem noziedzīgiem nodarījumiem. Pēc būtības ir nepieciešams konstatēt, ka sodāmības fakts jeb apstāklis, ka persona ir atzīta par vainīgu saistībā ar attiecīgo noziedzīgo nodarījumu veidu (grupu), ir tik būtisks, kas tas objektīvu un pamatotu iemeslu dēļ liedz tai saņemt finansējumu noteikumos Nr. 701 noteiktajā kārtībā. Šāda saikne starp sodāmības faktu par ikvienu Krimināllikumā noteikto noziedzīgo nodarījumu un ierobežojumu saņemt finansējumu nevar būt abstrakta, proti, anotācijā norādītie reputācijas un uzticamības riski paši par sevi nepamato tiesisku nepieciešamību ierobežojuma tvērumā ietvert visus Krimināllikumā noteiktos tīšos noziedzīgos nodarījumus.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sašaurināt noziedzīgo nodarījumu tvērumu, to attiecinot vienīgi uz īpaši bīstamiem noziedzīgiem nodarījumiem un tādiem noziedzīgiem nodarījumiem, kas ir tieši  saistīti ar konkrēto nozari, piemēram, noziedzīgi nodarījumi tautsaimniecībā un noziedzīgi nodarījumi pret īpašumu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ka noteikumu projekta 4.0. redakcijā iepretim 3.0. redakcijai attiecīgo nodarījumu loks tika ievērojami paplašināts, jo iepriekš noteikumos bija paredzēts izsmeļošs nodarījumu uzskaitījums. Turklāt iepriekš 11.2. apakšpunkts aptvēra vienīgi noteiktas grupas noziedzīgus nodarījumus.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jautājums pēc būtības pārrunāts ar Tieslietu ministrijas pārstāvjiem. Attiecībā uz iebilduma pirmo daļu sniegts skaidrojums par plānoto situācijas risinājumu, kā arī pamatojums attiecīgo nosacījumu ietveršanai Ministru kabineta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iebilduma otro daļu precizēta attiecīgā apakšpunkta redakcija, sniedzot pamatojumu šāda risinājuma izvēlei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ir sodīta par noziedzīgu nodarījumu, kas paredzēts </w:t>
            </w:r>
            <w:r w:rsidR="00000000" w:rsidRPr="00000000" w:rsidDel="00000000">
              <w:rPr>
                <w:rtl w:val="0"/>
              </w:rPr>
              <w:t xml:space="preserve">Krimināllikuma</w:t>
            </w:r>
            <w:r w:rsidR="00000000" w:rsidRPr="00000000" w:rsidDel="00000000">
              <w:rPr>
                <w:rtl w:val="0"/>
              </w:rPr>
              <w:t xml:space="preserve"> IX, IX¹, X, XIX, XXII vai XXIV nodaļā, vai par sevišķi smagu noziegumu, un sodāmība par to nav noņemta vai dzēsta. Šo nosacījumu piemēro arī attiecībā uz ārvalstī izdarītu noziedzīgu nodarījumu, kas atbilst kādam no minētajiem noziedzīgajiem nodarījumiem;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Lai pārbaudītu, vai uz projekta iesniedzēju vai personu, kura ir projekta iesniedzēja valdes vai padomes loceklis vai prokūrists, vai personu, kura ir pilnvarota pārstāvēt projekta iesniedzēju, nav attiecināms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minētais nosacījums, Vides investīciju fonds informāciju iegūst no Iekšlietu ministrijas Informācijas centra pārziņā esošās valsts informācijas sistēmas "Sodu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2026. gada 20. jūnijā stājās spēkā Ministru kabineta 2026. gada 16. jūnija noteikumi Nr. 335 “Iekšlietu digitālā centra nolikums”, ar kuriem Iekšlietu ministrijas Informācijas centra nosaukums mainīts uz Iekšlietu digitālo centru, attiecīgi precizēt noteikumu 11.¹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Lai pārbaudītu, vai uz projekta iesniedzēju vai personu, kura ir projekta iesniedzēja valdes vai padomes loceklis vai prokūrists, vai personu, kura ir pilnvarota pārstāvēt projekta iesniedzēju, nav attiecināms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minētais nosacījums, Vides investīciju fonds informāciju iegūst no Iekšlietu digitālā centra pārziņā esošās valsts informācijas sistēmas "Sodu reģistrs" un Eiropas Sodāmības reģistru informācijas sistēmas.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nodrošina atbilstoši šo noteikumu </w:t>
            </w:r>
            <w:r w:rsidR="00000000" w:rsidRPr="00000000" w:rsidDel="00000000">
              <w:rPr>
                <w:rtl w:val="0"/>
              </w:rPr>
              <w:t xml:space="preserve">17.1.</w:t>
            </w:r>
            <w:r w:rsidR="00000000" w:rsidRPr="00000000" w:rsidDel="00000000">
              <w:rPr>
                <w:rtl w:val="0"/>
              </w:rPr>
              <w:t xml:space="preserve"> apakšpunkta</w:t>
            </w:r>
            <w:r w:rsidR="00000000" w:rsidRPr="00000000" w:rsidDel="00000000">
              <w:rPr>
                <w:rtl w:val="0"/>
              </w:rPr>
              <w:t xml:space="preserve">m iegādātā elektromobiļa pastāvīgu reģistrāciju Latvijas Republikas teritorijā finansējuma saņēmēja īpašumā vai turējumā (ja līzinga periodā īpašnieks ir līzinga pakalpojuma sniedzējs);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trešās kārtas ietvaros komersantiem (noteikumu 9.3.punkts), tostarp pašvaldību kapitālsabiedrībām kā komersantiem, iegādātais elektromobilis jāuztur finansējuma saņēmēja īpašumā vai turējumā vismaz četrus gadus pēc projekta īstenošanas termiņa beigām vai līdz brīdim, kad ar elektromobili nobraukti vismaz 80 000 km. Savukārt pašvaldībām un tiešās pārvaldes iestādēm trešajā kārtā noteikts 41 600 km nobraukuma slieksnis.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pārskatīt konkursa trešās kārtas ietvaros pašvaldību kapitālsabiedrībām piemērojamo 80 000 km nobraukuma prasību un noteikt pašvaldību kapitālsabiedrībām tādu pašu minimālo nobraukuma prasību kā pašvaldībām un tiešās pārvaldes iestādēm</w:t>
            </w:r>
            <w:r w:rsidR="00000000" w:rsidRPr="00000000" w:rsidDel="00000000">
              <w:rPr>
                <w:rtl w:val="0"/>
              </w:rPr>
              <w:t xml:space="preserve">, proti, 41 600 km četru gadu monitoringa periodā, vai arī paredzēt diferencētu pieeju atkarībā no transportlīdzekļa faktiskā izmantošanas mērķa.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kapitālsabiedrības, lai arī juridiski ir komersanti, bieži nodrošina pašvaldību autonomo funkciju izpildi un sabiedrisko pakalpojumu sniegšanu, piemēram, sociālos un veselības aprūpes pakalpojumus vai citus pašvaldības deleģētus uzdevumus. Šādu pakalpojumu sniegšanā transportlīdzekļi pārsvarā tiek izmantoti ierobežotā administratīvā teritorijā un īsos, regulāros maršrutos, kuru dēļ 80 000 km nobraukuma prasības sasniegšana daudzos gadījumos nav objektīvi sasniedzama.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grozījumu projekts jau paredz, ka pašvaldībām un tiešās pārvaldes iestādēm pietiekama ir 41 600 km nobraukuma prasība, tādējādi atzīstot, ka publisko funkciju nodrošināšanai izmantotajiem transportlīdzekļiem nav raksturīga tik intensīva ekspluatācija kā komercdarbībā izmantotajiem transportlīdzekļiem. Pašvaldību kapitālsabiedrības pēc būtības atrodas salīdzināmā situācijā ar pašvaldībām, jo arī tās bieži darbojas publiska pakalpojuma nodrošināšanas, nevis peļņas maksimizēšanas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80 000 km prasība atturēs pašvaldību kapitālsabiedrības no dalības programmā un samazinās Modernizācijas fonda atbalsta pieejamību publisko pakalpojumu sniedzējiem, tādējādi mazinot programmas mērķa sasniegšanu attiecībā uz transporta sektora dekarbonizāciju.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grozījumu projekts vienlaikus samazina minimālo autoparka prasību no 5 uz 2 transportlīdzekļiem un minimālo iegādājamo elektromobiļu skaitu no 3 uz 1, kas apliecina likumdevēja mērķi paplašināt atbalsta pieejamību mazākām organizācijām. Šim mērķim neatbilst nemainīgi augstas 80 000 km monitoringa prasības saglabāšana pašvaldību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w:t>
            </w:r>
            <w:r w:rsidR="00000000" w:rsidRPr="00000000" w:rsidDel="00000000">
              <w:rPr>
                <w:b w:val="1"/>
                <w:u w:val="single"/>
                <w:rtl w:val="0"/>
              </w:rPr>
              <w:t xml:space="preserve">aicinām papildināt noteikumu 32., 33., 108. un 109. punktu, paredzot, ka konkursa trešās kārtas ietvaros 41 600 km nobraukuma slieksnis piemērojams arī pašvaldību kapitālsabiedrībām (noteikumu 9.3.punktā norādītajiem projekta iesnieguma iesniedzējam – komersantiem), kuras nodrošina pašvaldības funkciju izpildi, deleģētu pārvaldes uzdevumu vai sabiedrisko pakalpojumu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iepazīties ar Satiksmes ministrijas 02.04.2026. iebildumu, kurā Satiksmes ministrija konceptuāli iebilda pret noteikumu projektu tā brīža redakcijā, jo atbalsts netika mērķēts uz transportlīdzekļiem ar lielāko nobraukumu gadā jeb lielākajiem piesārņotājiem.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ministrijai ir nepieciešams nodrošināt efektīvu pieejamā finansējuma izlietojumu, tostarp atskaitīties par tā izlietojumu un plānotajiem sasniedzamajiem rādītājiem, sasniedzamais nobraukums nevienai no komersantu grupā ietilpstošajiem projektu iesniedzējiem netiks samazināts. Konkursa ietvaros atbalstāmo aktivitāšu īstenošanai pieejamais finansējums ir ierobežots, tādēļ ir būtiski nodrošināt tā iespējami efektīvu un lietderīgu izlietojumu. Finansējuma ierobežotais apjoms nosaka nepieciešamību atbalstu novirzīt tādiem ieguldījumiem, kas nodrošina pēc iespējas lielāku un kvalitatīvāku rezultātu sasniegšanu attiecībā pret piešķirto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nodrošina atbilstoši šo noteikumu </w:t>
            </w:r>
            <w:r w:rsidR="00000000" w:rsidRPr="00000000" w:rsidDel="00000000">
              <w:rPr>
                <w:rtl w:val="0"/>
              </w:rPr>
              <w:t xml:space="preserve">17.1.</w:t>
            </w:r>
            <w:r w:rsidR="00000000" w:rsidRPr="00000000" w:rsidDel="00000000">
              <w:rPr>
                <w:rtl w:val="0"/>
              </w:rPr>
              <w:t xml:space="preserve"> apakšpunkta</w:t>
            </w:r>
            <w:r w:rsidR="00000000" w:rsidRPr="00000000" w:rsidDel="00000000">
              <w:rPr>
                <w:rtl w:val="0"/>
              </w:rPr>
              <w:t xml:space="preserve">m iegādātā elektromobiļa pastāvīgu reģistrāciju Latvijas Republikas teritorijā finansējuma saņēmēja īpašumā vai turējumā (ja līzinga periodā īpašnieks ir līzinga pakalpojuma sniedzējs);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"Energoefektivitātes paaugstināšana transporta sektorā – atbalsts elektromobiļu un to uzlādes infrastruktūras ieviešanai" TREŠĀS KĀRTAS PROJEKTA 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izmantojamas nekonkrētas norādes par finansiāla vai administratīva rakstura sankciju piemērošanu. Turklāt sankcijas ir tiesiskās sekas, nevis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paredzētajā 1.</w:t>
            </w:r>
            <w:r w:rsidR="00000000" w:rsidRPr="00000000" w:rsidDel="00000000">
              <w:rPr>
                <w:vertAlign w:val="superscript"/>
                <w:rtl w:val="0"/>
              </w:rPr>
              <w:t xml:space="preserve">1</w:t>
            </w:r>
            <w:r w:rsidR="00000000" w:rsidRPr="00000000" w:rsidDel="00000000">
              <w:rPr>
                <w:rtl w:val="0"/>
              </w:rPr>
              <w:t xml:space="preserve"> pielikumā ir iekļauts teksts: "Apzinos, ka nepatiesas apliecinājumā sniegtās informācijas dēļ pret projekta iesniedzēju var tikt uzsāktas administratīva un finansiāla rakstura sankcijas." Lai arī noteikumu projekta anotācijā skaidrots, ko šajā gadījumā varētu saprast ar administratīva vai finansiāla rakstura sankcijām, šādu terminu lietojums noteikumu projektā pats par sevi ir neskaidrs, grūti saprotams privātpersonai un rezultātā tas nepilda vienīgo funkciju, kāpēc tas varētu būt iekļauts noteikumu projektā, proti, informēt privātpersonu par iespējamajām tiesiskajām sekām. Ja atzīst par vajadzīgu iesnieguma veidlapā iekļaut šādu informāciju, tad tai jābūt lietderīgai, pietiekami precīzai un saprotamai. Nav saskatāms, kāpēc veidlapā nevarētu iekļaut precīzāku skaidrojumu, kas būtu līdzvērtīgs anotācijā esošajam.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Vispārīgi Latvijas tiesību sistēmā ar "administratīvajām sankcijām" parasti apzīmē soda veidu – administratīvajai atbildībai līdzīgus piespiedu ietekmēšanas līdzekļus, ko piemēro administratīvajā procesā. No anotācijas neizriet, ka tas atbilstu noteikumu projektā esošajai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jāievēro, ka sankcijas ir tiesiskās sekas. Tam neatbilst vārda "uzsāktas [sankcijas]" lietojums, kas parasti ir saistīts ar procesa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teikums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"Energoefektivitātes paaugstināšana transporta sektorā – atbalsts elektromobiļu un to uzlādes infrastruktūras ieviešanai" TREŠĀS KĀRTAS PROJEKTA IESNIEGUMA VEIDLAPA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w:t>
            </w:r>
            <w:r w:rsidR="00000000" w:rsidRPr="00000000" w:rsidDel="00000000">
              <w:rPr>
                <w:vertAlign w:val="superscript"/>
                <w:rtl w:val="0"/>
              </w:rPr>
              <w:t xml:space="preserve">1</w:t>
            </w:r>
            <w:r w:rsidR="00000000" w:rsidRPr="00000000" w:rsidDel="00000000">
              <w:rPr>
                <w:rtl w:val="0"/>
              </w:rPr>
              <w:t xml:space="preserve"> pielikuma 4. sadaļas (apliecinājums) 4.2. apakšpunktā projekta iesnieguma iesniedzējam jāapliecina, ka tam nav nodokļu un valsts sociālās apdrošināšanas obligāto iemaksu parādu, kas kopsummā pārsniedz 150 euro, izņemot nodokļu maksājumus, kuru segšanai ir piešķirts samaksas termiņa pagarinājums, ir </w:t>
            </w:r>
            <w:r w:rsidR="00000000" w:rsidRPr="00000000" w:rsidDel="00000000">
              <w:rPr>
                <w:u w:val="single"/>
                <w:rtl w:val="0"/>
              </w:rPr>
              <w:t xml:space="preserve">noslēgta vienošanās par labprātīgu nodokļu samaksu</w:t>
            </w:r>
            <w:r w:rsidR="00000000" w:rsidRPr="00000000" w:rsidDel="00000000">
              <w:rPr>
                <w:rtl w:val="0"/>
              </w:rPr>
              <w:t xml:space="preserve"> vai noslēgts vienošanās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ieņēmumu dienesta administrēto nodokļu parādnieku datubāzē tiek publiskota informācija par tādiem nodokļu parādiem, attiecībā uz kuriem ir noslēgta vienošanās par labprātīgu nodokļu samaksu. Paskaidrojam, ka lēmums par nokavēto nodokļu maksājumu labprātīgu izpildi tiek pieņemts tikai pēc tam, kas nodokļu administrācija jau ir uzsākusi nodokļu parāda piedziņu. Savukārt nodokļu piedziņa tiek uzsākta tikai gadījumā, ja nodokļu maksātājs pats labprātīgi nepilda savas saistības nodokļu nomaksas jomā. Ņemot vērā, ka nodokļu parāda piedziņa rada nodokļu administrācijai (attiecīgi arī valsts budžetam) papildus izmaksas, lūdzam pārskatīt, vai ir pieļaujami, ka personām, kuras savlaicīgi nepilda likumā noteiktos pienākumus nodokļu jomā, valsts piešķir finansiālu atbalstu saimnieciskās darbības modernizēšanai.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Attiecīgais projektu iesniedzēju izslēgšanas kritērijs ir bijis nemainīgs kopš konkursa pirmās kārtas izsludināšanas 2024. gadā un tiek saglabāts. Nodokļu saistību izpilde raksturo projekta iesniedzēja finanšu disciplīnu un spēju atbildīgi pildīt savas saistības, kas vienlaikus ir arī būtiski priekšnoteikumi sekmīgai projekta īstenošanai. Vienlaikus ir nepieciešams ievērot samērīguma principu un  neierobežot  iespējas saņemt finansējumu, ja nodokļu saistību izpilde tiek aktīvi risināta.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Nodokļu un valsts sociālās apdrošināšanas obligāto iemaksu parāda esība pati par sevi nav uzskatāma par pietiekamu pamatu projekta iesniedzēja izslēgšanai no dalības konkursā, ja attiecībā uz konkrēto parādu ir noslēgta normatīvajos aktos paredzēta vienošanās par tā samaksu vai piešķirts samaksas termiņa pagarinājums. Šādā gadījumā projekta iesniedzējs ir veicis nepieciešamās darbības nodokļu saistību izpildes nodrošināšanai. Vienlaikus šāds izņēmums nerada pamatu nekontrolētai finansējuma piešķiršanai, jo tas attiecināms tikai uz tādiem nodokļu parādiem, kuru samaksai ir piešķirts samaksas termiņa pagarinājums, noslēgta vienošanās par labprātīgu nodokļu samaksu vai noslēgts vienošanās līgums. Tādējādi tiek nošķirti gadījumi, kad projekta iesniedzējs objektīvi un tiesiski risina savas nodokļu saistības, no gadījumiem, kad projekta iesniedzējs neveic pasākumus tā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18. panta pirmās daļas 8. punktu nodokļu administrācijai ir pienākums nodrošināt nodokļu (nodevu) iekasēšanas publiskumu, regulāri publicējot informāciju par atsevišķu nodokļu (nodevu) kopieņēmumiem, un informācijas pieejamību par tiem nodokļu maksātājiem, kuriem Valsts ieņēmumu dienesta administrēto nodokļu (nodevu) parāda kopsumma pārsniedz 150 euro, izņemot nodokļu maksājumus, kuru maksāšanas termiņš saskaņā ar šā likuma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šā likuma 41. pantu. Informāciju par minētajiem parādniekiem iekļauj Valsts ieņēmumu dienesta administrēto nodokļu (nodevu) parādnieku datubāzē un tās pieejamību nodrošina, ievērojot šā likuma 22. panta pirmās daļas 1. punktā un trešajā daļā minētos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saskaņā ar likuma “Par nodokļiem un nodevām” 18. panta pirmās daļas 8. punktu Valsts ieņēmumu dienesta administrēto nodokļu (nodevu) parādnieku datubāzē tiek publicēta informācija par nodokļu (nodevu) parāda kopsummu, kas pārsniedz 150 euro, tai skaitā par tādiem parādiem attiecībā uz kuriem ir pieņemts lēmums par nokavēto nodokļu maksājumu labprātīgu izpildi. Informācija par parādiem attiecībā uz kuriem ir piešķirts samaksas termiņa pagarinājums vai noslēgts vienošanās līgums parādnieku datubāzē publicēta netiek. Arī saskaņā ar likuma “Par nodokļiem un nodevām” 7.</w:t>
            </w:r>
            <w:r w:rsidR="00000000" w:rsidRPr="00000000" w:rsidDel="00000000">
              <w:rPr>
                <w:vertAlign w:val="superscript"/>
                <w:rtl w:val="0"/>
              </w:rPr>
              <w:t xml:space="preserve">4</w:t>
            </w:r>
            <w:r w:rsidR="00000000" w:rsidRPr="00000000" w:rsidDel="00000000">
              <w:rPr>
                <w:rtl w:val="0"/>
              </w:rPr>
              <w:t xml:space="preserve"> panta 2. punktu personas. kurām ir piešķirts samaksas termiņa pagarinājums vai ar kurām noslēgts vienošanās līgums. netiek uzskatītas par tādam, kurām ir neizpildītas saistības nodokļu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nodokļu parādi, attiecībā uz kuriem ir piešķirts samaksas termiņa pagarinājums vai noslēgts vienošanās līgums neietekmē ar noteikumu projektu piešķiramo atbalstu, kā arī informācija par minētajiem parādiem netiek iekļauta Valsts ieņēmumu dienesta administrēto nodokļu (nodevu) parādnieku datubāzē, tad noteikumu projekta 1.</w:t>
            </w:r>
            <w:r w:rsidR="00000000" w:rsidRPr="00000000" w:rsidDel="00000000">
              <w:rPr>
                <w:vertAlign w:val="superscript"/>
                <w:rtl w:val="0"/>
              </w:rPr>
              <w:t xml:space="preserve">1</w:t>
            </w:r>
            <w:r w:rsidR="00000000" w:rsidRPr="00000000" w:rsidDel="00000000">
              <w:rPr>
                <w:rtl w:val="0"/>
              </w:rPr>
              <w:t xml:space="preserve"> pielikuma 4.2. apakšpunktā ietvertajām atsaucēm uz minēto nodokļu parādu veidiem nav nekādas tiesiskas nozīmes.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Apliecinājumā ietvertā redakcija ir saskaņota ar noteikumu tekstā ietverto, un tās mērķis ir apliecinājuma tekstā pilnībā atspoguļot noteikto nosacījumu konkursa ietvaros. Minētās atsauces skaidri norāda, ka par neatbilstību netiek uzskatīta tāda nodokļu saistību situācija, kuru projekta iesniedzējs ir tiesiski noregulējis normatīvajos aktos paredzētajā kārtībā. Tādējādi šīm atsaucēm nav nelabvēlīgas tiesiskas ietekmes uz finansējuma piešķiršanu, bet tās veicina tiesību normas skaidrību un ļauj projekta iesniedzējam nepārprotami identificēt gadījumus, uz kuriem nodokļu parāda ierobežojums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pamata minētās atsauces svītrot vien tādēļ, ka attiecīgie nodokļu parādi praksē netiek ņemti vērā. To saglabāšana nodrošina pilnīgāku un nepārprotamāku konkursa nosacījumu atspoguļojumu apliecinājumā.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projekta anotācijas 1.3. sadaļā ietverto skaidrojumu par noteikumu projektā paredzētajiem grozījumiem un precizēt to atbilstoši noteikumu projekta aktuālajai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anotācijas 1.3. sadaļā ir vairākas neprecīzas atsauces. Piemēram, norādīts uz noteikumu projektā piedāvāto Noteikumu Nr. 701 3.</w:t>
            </w:r>
            <w:r w:rsidR="00000000" w:rsidRPr="00000000" w:rsidDel="00000000">
              <w:rPr>
                <w:vertAlign w:val="superscript"/>
                <w:rtl w:val="0"/>
              </w:rPr>
              <w:t xml:space="preserve">1</w:t>
            </w:r>
            <w:r w:rsidR="00000000" w:rsidRPr="00000000" w:rsidDel="00000000">
              <w:rPr>
                <w:rtl w:val="0"/>
              </w:rPr>
              <w:t xml:space="preserve"> punktu (</w:t>
            </w:r>
            <w:r w:rsidR="00000000" w:rsidRPr="00000000" w:rsidDel="00000000">
              <w:rPr>
                <w:i w:val="1"/>
                <w:rtl w:val="0"/>
              </w:rPr>
              <w:t xml:space="preserve">sk. skaidrojumu par konkursa trešās kārtas organizēšanu un projekta iesnieguma iesniegšanas un projekta aktivitāšu īstenošanas nosacījumu vienkāršošanu</w:t>
            </w:r>
            <w:r w:rsidR="00000000" w:rsidRPr="00000000" w:rsidDel="00000000">
              <w:rPr>
                <w:rtl w:val="0"/>
              </w:rPr>
              <w:t xml:space="preserve">) un 9.6. apakšpunktu (</w:t>
            </w:r>
            <w:r w:rsidR="00000000" w:rsidRPr="00000000" w:rsidDel="00000000">
              <w:rPr>
                <w:i w:val="1"/>
                <w:rtl w:val="0"/>
              </w:rPr>
              <w:t xml:space="preserve">sk. skaidrojumu par precizējumiem attiecībā uz konkursa kārtās pieejamo finansējumu</w:t>
            </w:r>
            <w:r w:rsidR="00000000" w:rsidRPr="00000000" w:rsidDel="00000000">
              <w:rPr>
                <w:rtl w:val="0"/>
              </w:rPr>
              <w:t xml:space="preserve">), lai gan ne noteikumu projektā, ne spēkā esošajā Noteikumu Nr. 701 redakcijā šādu apakšpunktu nav. Neprecīza ir arī atsauce uz noteikumu projekta 1.68. apakšpunktā piedāvāto Noteikumu Nr. 701 1.</w:t>
            </w:r>
            <w:r w:rsidR="00000000" w:rsidRPr="00000000" w:rsidDel="00000000">
              <w:rPr>
                <w:vertAlign w:val="superscript"/>
                <w:rtl w:val="0"/>
              </w:rPr>
              <w:t xml:space="preserve">1</w:t>
            </w:r>
            <w:r w:rsidR="00000000" w:rsidRPr="00000000" w:rsidDel="00000000">
              <w:rPr>
                <w:rtl w:val="0"/>
              </w:rPr>
              <w:t xml:space="preserve"> pielikumu, proti, šim pielikumam nav 7.6. apakšpunkta (</w:t>
            </w:r>
            <w:r w:rsidR="00000000" w:rsidRPr="00000000" w:rsidDel="00000000">
              <w:rPr>
                <w:i w:val="1"/>
                <w:rtl w:val="0"/>
              </w:rPr>
              <w:t xml:space="preserve">sk. skaidrojumu par informāciju par demarkāciju ar citām atbalsta programmām</w:t>
            </w:r>
            <w:r w:rsidR="00000000" w:rsidRPr="00000000" w:rsidDel="00000000">
              <w:rPr>
                <w:rtl w:val="0"/>
              </w:rPr>
              <w:t xml:space="preserve">), kā arī norāde uz noteikumu projekta 60. un 116. punktu – noteikumu projektam šādu punktu nav un tas arī neparedz grozījumus Noteikumu Nr. 701 60. un 116. punktā (</w:t>
            </w:r>
            <w:r w:rsidR="00000000" w:rsidRPr="00000000" w:rsidDel="00000000">
              <w:rPr>
                <w:i w:val="1"/>
                <w:rtl w:val="0"/>
              </w:rPr>
              <w:t xml:space="preserve">sk. skaidrojumu par precizējumiem projekta iesnieguma iesniegšanas kārtībā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uz atsevišķu noteikumu projekta anotācijas 1.3. sadaļā ietverto skaidrojumu neatbilstību noteikumu projektā paredzētajam regulējumam. Piemēram, noteikumu projekts neparedz zemnieku saimniecību kā atsevišķu projektu iesniedzēju grupu, taču no noteikumu projekta anotācijas 1.3. sadaļā norādītā varētu secināt pretējo (</w:t>
            </w:r>
            <w:r w:rsidR="00000000" w:rsidRPr="00000000" w:rsidDel="00000000">
              <w:rPr>
                <w:i w:val="1"/>
                <w:rtl w:val="0"/>
              </w:rPr>
              <w:t xml:space="preserve">sk. skaidrojumu par precizējumiem attiecībā uz konkursa kārtās pieejamo finansējumu</w:t>
            </w:r>
            <w:r w:rsidR="00000000" w:rsidRPr="00000000" w:rsidDel="00000000">
              <w:rPr>
                <w:rtl w:val="0"/>
              </w:rPr>
              <w:t xml:space="preserve">). Noteikumu projektā noteiktajam neatbilst arī skaidrojums par </w:t>
            </w:r>
            <w:r w:rsidR="00000000" w:rsidRPr="00000000" w:rsidDel="00000000">
              <w:rPr>
                <w:i w:val="1"/>
                <w:rtl w:val="0"/>
              </w:rPr>
              <w:t xml:space="preserve">de minimis</w:t>
            </w:r>
            <w:r w:rsidR="00000000" w:rsidRPr="00000000" w:rsidDel="00000000">
              <w:rPr>
                <w:rtl w:val="0"/>
              </w:rPr>
              <w:t xml:space="preserve"> atbalsta piemērošanu (</w:t>
            </w:r>
            <w:r w:rsidR="00000000" w:rsidRPr="00000000" w:rsidDel="00000000">
              <w:rPr>
                <w:i w:val="1"/>
                <w:rtl w:val="0"/>
              </w:rPr>
              <w:t xml:space="preserve">sk. skaidrojumu par atbalsta piemērošanu lauksaimniecības nozarei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Pārskatīta un precizēta noteikumu projekta anotācija. Papildus informējam, ka noteikumu projektā ietvertās normas, kas attiecināmas uz projektu iesniedzējiem lauksaimniecības nozarē, saskaņotas ar Zemkopības ministriju kā par nozari atbildīgo ministriju, tostarp attiecībā uz komercdarbības atbalsta piešķiršanu.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11. punktā sniegtos skaidrojumus par nepieciešamību noteikumu Nr. 701 izdošanas tiesiskajā pamatojumā saglabāt atsauci uz likuma "Par piesārņojumu" 32.</w:t>
            </w:r>
            <w:r w:rsidR="00000000" w:rsidRPr="00000000" w:rsidDel="00000000">
              <w:rPr>
                <w:vertAlign w:val="superscript"/>
                <w:rtl w:val="0"/>
              </w:rPr>
              <w:t xml:space="preserve">13</w:t>
            </w:r>
            <w:r w:rsidR="00000000" w:rsidRPr="00000000" w:rsidDel="00000000">
              <w:rPr>
                <w:rtl w:val="0"/>
              </w:rPr>
              <w:t xml:space="preserve"> pantu un ar Valsts kanceleju panākto viedokli šajā jautājumā, iesakām attiecīgi papildināt arī skaidrojumus anotācijas 1.3. apakšsadaļas risinājuma apraksta punktā "1. Tiesiskais pamatojums". Proti, pamatot šādu nepieciešamību un informēt tiesību normu adresātus par šādas atsauces saglabāšanas praktiskajiem apstākļiem,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attiecīgo skaidrojumu.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pie pamatojuma noteikumu projektā iekļautiem grozījumiem attiecībā uz finansējuma saņemšanas kārtību, norādīt TA lietas numuru Ministru kabineta noteikumiem "Modernizācijas fonda darbības kārtības noteikumi un daudzgadu darbības programma", ievērojot, ka iepriekš spēkā esošie Ministru kabineta 2023. gada 13. jūlija noteikumi Nr. 396 “Modernizācijas fonda darbības kārtības noteikumi un daudzgadu darbības programma” ir zaudējuši spēku, bet no jauna izstrādātie Ministru kabineta noteikumi “Modernizācijas fonda darbības kārtības noteikumi un daudzgadu darbības programma”, kurā iekļauta nodaļa “Finansējuma saņēmējam pieejamie maksājumi un maksājumu veikšanas kārtība”, vēl Ministru kabinetā nav apstiprināti.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attiecīgo TA lietas numuru.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pašvaldībām un tiešās pārvaldes iestādēm, kā arī komersantiem un lauksaimniecības un mežsaimniecības pakalpojumu kooperatīvajām sabiedrībām, kas plāno saņemt atbalstu saskaņā ar regulu Nr. </w:t>
            </w:r>
            <w:r w:rsidR="00000000" w:rsidRPr="00000000" w:rsidDel="00000000">
              <w:rPr>
                <w:rtl w:val="0"/>
              </w:rPr>
              <w:t xml:space="preserve">2023/2831</w:t>
            </w:r>
            <w:r w:rsidR="00000000" w:rsidRPr="00000000" w:rsidDel="00000000">
              <w:rPr>
                <w:rtl w:val="0"/>
              </w:rPr>
              <w:t xml:space="preserve">, – 25 % no elektromobiļa attiecināmajām izmaksām, vienlaikus ievērojot šo noteikumu </w:t>
            </w:r>
            <w:r w:rsidR="00000000" w:rsidRPr="00000000" w:rsidDel="00000000">
              <w:rPr>
                <w:rtl w:val="0"/>
              </w:rPr>
              <w:t xml:space="preserve">29.</w:t>
            </w:r>
            <w:r w:rsidR="00000000" w:rsidRPr="00000000" w:rsidDel="00000000">
              <w:rPr>
                <w:rtl w:val="0"/>
              </w:rPr>
              <w:t xml:space="preserve"> punktā</w:t>
            </w:r>
            <w:r w:rsidR="00000000" w:rsidRPr="00000000" w:rsidDel="00000000">
              <w:rPr>
                <w:rtl w:val="0"/>
              </w:rPr>
              <w:t xml:space="preserve"> noteikto maksimāli pieejamo Modernizācijas fonda finansējumu minētās aktivitātes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1.30. apakšpunktu. Atbilstoši anotācijas 1.3. apakšsadaļai Noteikumu Nr. 701 30.1., 35.1. un 41.1. apakšpunkts un 48.punkts saistīts ne tikai ar "lauksaimniecības un mežsaimniecības pakalpojumu kooperatīvajām sabiedrībām", bet arī "saimnieciskās darbības veicējiem, kas nodarbojas ar lauksaimniecības produktu primāro ražošanu". Nepieciešamības gadījumā aicinām precizēt skaidrojumā sniegto izpratni par subjektu attiecināmību un salāgot noteikumu projektu ar tā skaidrojumiem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un izvērtēts. Informējam, ka attiecīgo normu redakcijas veidotas, balstoties uz Zemkopības ministrijas kā nozares ministrijas skaidrojumiem, attiecīgi tiek saglabātas jau šobrīd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noteikumu projekta 5.</w:t>
            </w:r>
            <w:r w:rsidR="00000000" w:rsidRPr="00000000" w:rsidDel="00000000">
              <w:rPr>
                <w:vertAlign w:val="superscript"/>
                <w:rtl w:val="0"/>
              </w:rPr>
              <w:t xml:space="preserve">1</w:t>
            </w:r>
            <w:r w:rsidR="00000000" w:rsidRPr="00000000" w:rsidDel="00000000">
              <w:rPr>
                <w:rtl w:val="0"/>
              </w:rPr>
              <w:t xml:space="preserve"> punkts nosaka, ka šo noteikumu ietvaros saimnieciskās darbības veicējam, kas nodarbojas ar lauksaimniecības produktu primāro ražošanu un lauksaimniecības un mežsaimniecības pakalpojumu kooperatīvajai sabiedrībai tiek piemēroti nosacījumi, kas attiecināmi uz komersantu, tostarp šo noteikumu 5. punktā noteiktā definīcija. Iepriekš minētā nosacījuma piemērošana skaidrota arī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pašvaldībām un tiešās pārvaldes iestādēm, kā arī komersantiem un lauksaimniecības un mežsaimniecības pakalpojumu kooperatīvajām sabiedrībām, kas plāno saņemt atbalstu saskaņā ar regulu Nr. </w:t>
            </w:r>
            <w:r w:rsidR="00000000" w:rsidRPr="00000000" w:rsidDel="00000000">
              <w:rPr>
                <w:rtl w:val="0"/>
              </w:rPr>
              <w:t xml:space="preserve">2023/2831</w:t>
            </w:r>
            <w:r w:rsidR="00000000" w:rsidRPr="00000000" w:rsidDel="00000000">
              <w:rPr>
                <w:rtl w:val="0"/>
              </w:rPr>
              <w:t xml:space="preserve">, – 25 % no elektromobiļa attiecināmajām izmaksām, vienlaikus ievērojot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noteikto maksimāli pieejamo Modernizācijas fonda finansējumu minētās aktivitātes ietvaros;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10.06.2026. 17:50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5. novembra noteikumos Nr. 701 "Modernizācijas fonda finansēto projektu atklāta konkursa "Energoefektivitātes paaugstināšana transporta sektorā – atbalsts elektromobiļu un to uzlādes infrastruktūras ieviešanai"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29. punktu, paredzot, ka tajā noteiktie maksimālie atbalsta apmēri uz vienu elektromobili nav piemērojami saimnieciskās darbības veicējiem, kas nodarbojas ar lauksaimniecības produktu primāro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minētajiem atbalsta pretendentiem atbalstu paredzēts sniegt saskaņā ar Komisijas Regulas (ES) Nr. 651/2014 36.b pantu, nevis saskaņā ar Komisijas Regulu (ES) Nr. 2023/2831, atbalsta apmērs elektromobiļu iegādei vai līzingam būtu nosakāms atbilstoši Regulas Nr. 651/2014 36.b pantā pieļaujamajai atbalsta intensitātei, paredzot atbalsta intensitāti līdz 50 % no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punktā noteiktie maksimālie atbalsta apmēri uz vienu elektromobili ir savstarpēji saskaņoti ar ministrijas sagatavoto un Eiropas Investīciju bankā iesniegto un 2023. gada martā apstiprināto investīciju priekšlikumu “Energoefektivitātes paaugstināšana transporta sektorā – atbalsts elektromobiļu un to uzlādes infrastruktūras ieviešanai” (</w:t>
            </w:r>
            <w:r w:rsidR="00000000" w:rsidRPr="00000000" w:rsidDel="00000000">
              <w:rPr>
                <w:i w:val="1"/>
                <w:rtl w:val="0"/>
              </w:rPr>
              <w:t xml:space="preserve">Energy efficiency in transport sector – support for introduction of electric vehicles and corresponding charging infrastructure</w:t>
            </w:r>
            <w:r w:rsidR="00000000" w:rsidRPr="00000000" w:rsidDel="00000000">
              <w:rPr>
                <w:rtl w:val="0"/>
              </w:rPr>
              <w:t xml:space="preserve">) un ir vienādi piemērojami visām atbalsta saņēmēju grupām. Saimnieciskās darbības veicējiem, kas atbalstu saņem saskaņā ar Komisijas regulas Nr. 651/2014 36.b pantu, piemērojamā atbalsta intensitāte tiek nodrošināta ar MK noteikumu 30.2. apakšpunktu (lielajiem - 20 %, vidējiem - 40 %, mazajiem un sīkajiem - 50 % no attiecināmajām izmaksām). Tādējādi 29. punktā noteiktais maksimālais apjoms uz vienu elektromobili darbojas kā absolūtais griestu rādītājs, savukārt Komisijas regulas Nr. 651/2014 36.b pantā pieļaujamā intensitāte atkarībā no saņēmēja lieluma darbojas kā papildu ierobežojums. Šāda divpakāpju pieeja nodrošina gan EIB apstiprināto parametru ievērošanu, gan Komisijas regulas Nr. 651/2014 atbalsta intensitātes prasību izpildi, tāpēc 29. punkta precizēšana ar atsevišķu izņēmumu lauksaimniecības primārajiem ražotājiem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Komisijas regulas Nr. 651/2014 36.b ietvaros attiecināmās izmaksas nav elektromobiļa pilnā iegādes cena, bet papildu investīciju izmaksas - starpība starp elektromobiļa un līdzvērtīgas klases iekšdedzes dzinēja transportlīdzekļa iegādes cenu. Patreiz M1 kategorijai šī starpība Latvijas tirgū parasti nepārsniedz 10 000-15 000 euro, tādēļ pat pie maksimālās Komisijas regulas Nr. 651/2014 36.b intensitātes (50 % mazam uzņēmumam) iegūstamais atbalsts ir samērojams ar 29.1. apakšpunktā noteikto 5 000 euro un 29.2. apakšpunktā - 7 500 euro N1 kategorijai. Tādējādi 29. punktā noteiktie griestu rādītāji nav ierobežojoši Komisijas regulas Nr. 651/2014 36.b saņēmējiem, tostarp saimnieciskās darbības veicējiem lauksaimniecības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programmas finansējuma apjoms ir saskaņots ar privātpersonām paredzēto atbalsta programmu - Ministru kabineta 2026. gada 21. aprīļa noteikumiem Nr. 238 „Emisijas kvotu izsolīšanas instrumenta finansēto projektu atklāta konkursa „Atbalsts bezemisiju un mazemisiju transportlīdzekļu iegādei" nolikums" (EKII-10 konkurss), - nodrošinot konsekventu pieeju bezemisiju transportlīdzekļu atbalstam dažādās mērķauditorijās.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13 </w:t>
            </w:r>
            <w:r w:rsidR="00000000" w:rsidRPr="00000000" w:rsidDel="00000000">
              <w:rPr>
                <w:rtl w:val="0"/>
              </w:rPr>
              <w:t xml:space="preserve">panta</w:t>
            </w:r>
            <w:r w:rsidR="00000000" w:rsidRPr="00000000" w:rsidDel="00000000">
              <w:rPr>
                <w:rtl w:val="0"/>
              </w:rPr>
              <w:t xml:space="preserve"> ceturto daļu un </w:t>
            </w:r>
            <w:r w:rsidR="00000000" w:rsidRPr="00000000" w:rsidDel="00000000">
              <w:rPr>
                <w:rtl w:val="0"/>
              </w:rPr>
              <w:t xml:space="preserve">Klimatnoturības un ekonomiskās ilgtspējas likuma 18. panta</w:t>
            </w:r>
            <w:r w:rsidR="00000000" w:rsidRPr="00000000" w:rsidDel="00000000">
              <w:rPr>
                <w:rtl w:val="0"/>
              </w:rPr>
              <w:t xml:space="preserve">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izvērtēt 95.1 punktā paredzēto principu pašvaldībām un pašvaldību kapitālsabiedrībām, ka projekta aktivitāšu īstenošanai nepieciešamie maksājumi veicami no pašu vai piesaistītiem līdzekļiem, rada reālu finanšu slogu publiskajam sektoram. Katrs eiro, ko pašvaldība novirza projekta īstenošanai līdz finansējuma atmaksas saņemšanai, samazina tās iespējas finansēt citas attīstības prioritātes, tostarp ceļu infrastruktūras uzlabošanu, izglītības iestāžu modernizāciju, sociālos pakalpojumus un citus pašvaldības autonomo funkciju nodrošināšanai nepieciešamus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pašvaldību kapitālsabiedrībām būtiski priekšfinansēšanas pienākumi var radīt papildu likviditātes riskus, ietekmēt investīciju programmu īstenošanu un atsevišķos gadījumos negatīvi ietekmēt sabiedrisko pakalpojumu nepārtrauktību.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avansa maksājumu vai citu elastīgāku finanšu plūsmas risinājumu neesamība būtiski samazina programmas faktisko pieejamību pašvaldībām un pašvaldību kapitālsabiedrībām. Tas ir īpaši būtiski, ņemot vērā, ka tieši pašvaldību īstenotie projekti transporta, enerģētikas, siltumapgādes un komunālās infrastruktūras jomās rada ievērojamu sabiedrisko labumu, veicina energoefektivitāti, samazina enerģētisko nabadzību, uzlabo reģionu konkurētspēju un sekmē turpmāku privāto investīciju piesaisti. Tādēļ LPS aicina izteikt 95. punktu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un pašvaldību kapitālsabiedrībām tiek paredzēts avansa maksājums līdz 30% no piešķirtā finansējuma apmēra, ņemot vērā to normatīvajos aktos noteiktos aizņēmumu ierobežojumus un sabiedrisko pakalpojumu nepārtrauktības nodrošināšanas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nav izņēmums publiskajam sektoram, bet gan ekonomiski pamatots instruments, kas nodrošina programmas reālu pieejamību tiem, kas sabiedriskos mērķus īsteno dzīvē.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701 XII nodaļa "Finansējuma saņēmējam pieejamie maksājumi un maksāšanas kārtība" tiek pārstrādāta, nosakot, ka maksājumus finansējuma saņēmējam veic atbilstoši normatīvajiem aktiem par Modernizācijas fonda darbības kārtību un daudzgadu darbības programmu un projekta līgumam. Modernizācijas fonda darbības kārtība un daudzgadu darbības programma nosaka, ka finansējuma saņēmējam, kas nav valsts budžeta iestāde (tostarp pašvaldībai un pašvaldības kapitālsabiedrībai), pieejams avansa maksājums, kā arī MK noteikumu projekts papildināts ar nosacījumus, ka avansa maksājums nepārsniedz 30 % no projektam apstiprinātās Modernizācijas fonda finansējuma summas.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2024. gada 5. novembra noteikumos Nr. 701 "Modernizācijas fonda finansēto projektu atklāta konkursa "Energoefektivitātes paaugstināšana transporta sektorā – atbalsts elektromobiļu un to uzlādes infrastruktūras ieviešanai" nolikums" (Latvijas Vēstnesis, 2024, 218.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projekta 24. punkta piemērošanu pašvaldību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precizēt noteikumu projekta 24. punktu un tā piemērošanas nosacījumus attiecībā uz pašvaldību kapitālsabiedrībām, kuras sniedz vispārējas tautsaimnieciskas nozīmes pakalpojumus un darbojas pašvaldības autonomo funkciju izpildes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ka ievērojama daļa pašvaldību kapitālsabiedrību darbojas ūdenssaimniecības, siltumapgādes, sabiedriskā transporta, atkritumu apsaimniekošanas un citās nozarēs, kurās tiek nodrošināti sabiedrībai būtiski pakalpojumi pašvaldības autonomo funkciju ietvaros. Šādu pakalpojumu sniegšana pati par sevi nav pielīdzināma darbībai brīvā tirgus konkurences apstākļos, jo kapitālsabiedrības darbojas publiskā uzdevuma izpildē, ievērojot normatīvajos aktos noteiktās prasības un bieži vien regulētā tarifu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nav pamatoti piemērot vienādu pieeju projektiem, kas tiek īstenoti pašvaldības autonomo funkciju nodrošināšanai vai vispārējas tautsaimnieciskas nozīmes pakalpojumu sniegšanai, un projektiem, kuru mērķis ir komercdarbība konkurences tirgū. Šādos gadījumos būtu nepieciešams skaidri noteikt, ka projekta īstenošana pašvaldības deleģēta publiska uzdevuma vai vispārējas tautsaimnieciskas nozīmes pakalpojuma ietvaros pati par sevi nav uzskatāma par pamatu projekta pārkvalificēšanai par komercdarbības atbalsta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papildināt anotāciju un nepieciešamības gadījumā precizēt noteikumu projektu, skaidri nosakot, kā tiks vērtēti projekti, kurus īsteno pašvaldību kapitālsabiedrības, kas sniedz vispārējas tautsaimnieciskas nozīmes pakalpojumus vai nodrošina pašvaldības autonomo funkciju izpildi, tādējādi mazinot tiesisko nenoteiktību un nepamatotu finanšu risku rašanos pēc projekta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"Risinājumu apraksts" (8. Ar komercdarbības atbalsta saņemšanu saistīto nosacījumu precizēšana) papildināta ar skaidrojumu par to, kā piemērojami MK noteikumu Nr. 701 24. punkta nosacījumi projektiem, ko īsteno pašvaldību kapitālsabiedrības, kuras sniedz vispārējas tautsaimnieciskas nozīmes pakalpojumus (turpmāk  - VTNP) vai nodrošina pašvaldības autonomo funkciju izpildi. Papildus tam, lai mazinātu interpretācijas riskus un atvieglotu projektu sagatavošanu, skaidrojums saistībā ar papildinošo saimniecisko darbību pašvaldību un tiešās pārvaldes iestāžu projektos, tostarp konkrēti piemēri, tiks iekļauts Vides investīciju fonda vadlīnijās projektu iesniedzējiem, kas atbilstoši MK noteikumu 26. punktam tiks izstrādātas un darītas pieejamas projektu iesniedzējiem savlaicīgi pirms projektu iesniegumu iesniegšanas. Šāda pieeja ir saskaņota ar iepriekšējā saskaņošanā (izsludināta 16.03.2026.) sniegto atbildi uz Vides aizsardzības un reģionālās attīstības ministrijas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24. punktā ietvertie nosacījumi nav šī konkursa specifiski ieviesti papildu nosacījumi, bet gan izriet no komercdarbības atbalsta kontroles vispārīgā regulējuma. Komercdarbības atbalsta kontroles likuma 1. panta otrās daļas 9. punkts noteic, ka komercdarbība ir saimnieciskā darbība, kas saistīta ar preču vai pakalpojumu piedāvāšanu tirgū, un ka darbības peļņas gūšanas rakstura neesamība pati par sevi neizslēdz tās kvalificēšanu par komercdarbību. Savukārt minētā likuma 1. panta otrās daļas 10. punkts noteic, ka par komercsabiedrību uzskatāma jebkura persona, kas veic komercdarbību, neatkarīgi no tās īpašuma formas un darbības veida. Tādējādi tas, ka atbalsta saņēmējs ir pašvaldības kapitālsabiedrība vai ka pakalpojums tiek sniegts publiska uzdevuma izpildē, pats par sevi neizslēdz saimnieciskas darbības esamību komercdarbības atbalsta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projekts tā dzīves ciklā kļūst par projektu, kuram sniegtais atbalsts būtu kvalificējams kā komercdarbības atbalsts, un šo atbalstu nav iespējams piemērot saskaņā ar regulu Nr. 2023/2831, sākotnēji saņemtais atbalsts atbilstoši Komercdarbības atbalsta kontroles likuma 1. panta otrās daļas 11. punktam kļūst par nepamatoti izlietotu, tātad nelikumīgu komercdarbības atbalstu. Tieši šo pienākumu atspoguļo MK noteikumu 24. punkts, un tā piemērošanas kārtība ir vienāda visiem finansējuma saņēmējiem neatkarīgi no to juridiskās formas. To apstiprina arī apstāklis, ka Komercdarbības atbalsta kontroles likuma 14. pants paredz VTNP sniedzējam pienākumu nodrošināt atsevišķu grāmatvedības uzskaiti, nošķirot VTNP darbības no citām darbībām - kas liecina, ka viena un tā pati kapitālsabiedrība var vienlaikus veikt gan nesaimnieciskas, gan saimnieciskas darbības, un tādēļ tās vispārīga iepriekšēja izslēgšana no 24. punkta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MK noteikumu 24. punkta grozīšana nav nepieciešama, un skaidrības labad attiecīgais izvērtējums iekļauts anotācijā, savukārt praktiskie papildinošās saimnieciskās darbības piemēri tiks ietverti Vides investīciju fonda vadlīnijās.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norāda, ka noteikumu projektā publiskā sektora projektu iesniedzējiem un komersantiem paredzēti atšķirīgi finansējuma apjomi, tomēr anotācijā nav sniegts izvērtējums vai pamatojums šādam sadalījumam. LPS aicina papildināt anotāciju ar informāciju, pēc kāda principa finansējums sadalīts.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 savas puses vēlas uzsvērt, ka publiskais sektors bieži vien ir lielāko un sabiedriski nozīmīgāko projektu īstenotājs, kur pašvaldības un pašvaldību kapitālsabiedrības īsteno projektus enerģētikas, siltumapgādes, ūdensapgādes, sabiedriskā transporta un komunālās saimniecības jomās un tas ir infrastruktūras mērogs, ko privāts komersants nespēj sasniegt. Ja publiskā sektora finansējuma griesti ir zemāki nekā komersantiem, tas faktiski nozīmē, ka lielāki un sabiedriski nozīmīgāki projekti saņem proporcionāli mazāku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pievērst uzmanību arī valsts klimata un enerģētikas mērķu sasniegšanai, kur Latvija ir uzņēmusies starptautiskas saistības klimata, energoefektivitātes un mobilitātes jomā. Šo saistību izpilde lielā mērā balstās uz pašvaldību un pašvaldību kapitālsabiedrību spēju īstenot lielus infrastruktūras projektus. Ja finansējuma pieejamība publiskajam sektoram ir nesamērīgi ierobežota, tas tieši apdraud šo mērķu sasniegšanu. Tāpat privātais komersants un pašvaldības kapitālsabiedrība nav salīdzināmi subjekti. Privāts komersants var piesaistīt papildu finansējumu tirgū, aizņemties, piesaistīt investorus, emitēt obligācijas. Pašvaldības kapitālsabiedrība darbojas striktu budžeta ierobežojumu ietvaros, un tās finansēšanas iespējas ir būtiski šaurākas. Tādēļ vienādu vai zemāku finansējuma griestus piemērot subjektiem ar atšķirīgu finansiālo kapacitāti nozīmē faktisku nevienlīdzību, pat ja sākumā noteikumi izskatās neitrāli.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 "1.3. Pašreizējā situācija, problēmas un risinājumi" (4. Precizējumi attiecībā uz konkursa kārtās pieejamo finansējumu) papildināta ar skaidrojumu par Modernizācijas fonda finansējuma sadalījuma pamatojumu starp iesniedzēju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ietvertās atbalstāmās aktivitātes, to nosacījumi, pieejamais finansējums katrai aktivitātei un saņēmēju grupai  ir savstarpēji saskaņoti ar ministrijas sagatavoto un Eiropas Investīciju bankā iesniegto un apstiprināto investīciju priekšlikumu „Energoefektivitātes paaugstināšana transporta sektorā – atbalsts elektromobiļu un to uzlādes infrastruktūras ieviešanai" (Energy efficiency in transport – support for introduction of electric vehicles and corresponding charging infrastructure). Minētajā investīciju priekšlikumā ir skaidri noteikts atbalsta apjoms katrai aktivitātei un precīzi valsts atbalsta sniegšanas nosacījumi konkursa ietvaros, uz kuru pamata Latvija ir saņēmusi finansējumu šī konkursa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Pieejamais finansējums sadalīts divām iesniedzēju grupām: pašvaldībām un tiešās pārvaldes iestādēm (9.1. un 9.2. apakšpunkts) pieejami 1 000 000 euro, savukārt komersantiem, tostarp pašvaldību kapitālsabiedrībām, un lauksaimniecības nozares saņēmējiem (9.3.–9.5. apakšpunkts) — 4 000 000 euro. Šāds sadalījums atspoguļo arī konkursa pirmajā un otrajā kārtā novēroto pieprasījumu: pašvaldības un tiešās pārvaldes iestādes šajās kārtās kopā pieprasījušas tikai 105 500 euro no tām pieejamā 1 000 000 euro finansējuma, kas apliecina, ka esošais finansējuma apjoms šai iesniedzēju grupai ir 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ka šis noteikumu projekts paredz grozījumus jau iepriekš apstiprinātā atbalsta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atsevišķi izvērtēta ietekme uz pašvaldībām un pašvaldību kapitālsabiedrībām, lai gan tās ir potenciālie finansējuma saņēmēji un vienlaikus nodrošina sabiedriskos pakalpojumus enerģētikas, komunālās saimniecības, pašvaldību policijas, sociālās palīdzības, transporta un citās nozarēs.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princips, kas ir viens no labas likumdošanas pamatelementiem un nostiprināts MK plānā par administratīvā sloga mazināšanas pasākumiem, paredz, ka ikviens jauns regulējums ir jāizvērtē no tā ietekmes uz regulējuma adresātiem. Šāds izvērtējums anotācijā nav veikts attiecībā uz pašvaldībām un pašvaldību kapitālsabiedrībām. No resursu ekonomijas viedokļa jānorāda, ka katrs papildu administratīvais pienākums, kas būtu ziņojumu sagatavošana, tostarp elektromobiļu nobraukuma uzskaite, elektroenerģijas patēriņa un saražotās elektroenerģijas uzskaite, monitoringa datu apkopošana, pēcuzraudzības prasību izpilde, rada tiešas izmaksas, ko pašvaldībām un pašvaldību kapitālsabiedrībām nāksies segt no saviem budžetiem, un tālāk šīs izmaksas galu galā tiek iekļautas pakalpojumu tarifos.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papildināt anotāciju ar atsevišķu sadaļu, kurā izvērtēta noteikumu projekta ietekme uz pašvaldību un  pašvaldību kapitālsabiedrībām,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 sloga kvantitatīvs novērtējums — cilvēkstundas un finanšu izmaksas uz vienu kapitālsabiedrību;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ietekme uz pakalpojumu tarifiem un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samērīguma izvērtējums — vai paredzētie pienākumi ir proporcionāli to sasniedzamajiem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alternatīvu risinājumu analīze, kas sasniegtu tos pašus mērķus ar mazāku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par noteikumu projekta ietekmi uz pašvaldībām un pašvaldību kapitālsabiedrībām. Norādāms, ka MK noteikumu projekts nevis palielina, bet gan samazina administratīvo slogu visiem finansējuma saņēmējiem, tostarp pašvaldībām: konkursa trešajā kārtā tiek vienkāršota projekta iesnieguma sagatavošanas un iesniegšanas kārtība, samazināts projektu īstenošanas periods, atcelta kvalitātes vērtēšana un ieviesta pieteikumu pieņemšana „rindas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Monitorings nodrošina iespēju finansējuma sniedzējam uzraudzīt publisko līdzekļu efektīvu un lietderīgu izmantošanu, identificēt iespējamos riskus vai neatbilstības, kā arī nepieciešamības gadījumā veikt atbilstošus pasākumus, lai novērstu atbalsta nosacījumu pārkāpumus. Attiecībā uz monitoringa un pēcuzraudzības prasībām norādāms, ka tās izriet no Modernizācijas fonda līdzekļu izlietojuma uzraudzības pienākuma un ir piemērojamas visiem finansējuma saņēmējiem neatkarīgi no to juridiskās formas, tādēļ atsevišķu, pašvaldībām atvieglotu monitoringa režīmu nav iespējams paredzēt, nepārkāpjot vienlīdzīgas attieksmes principu. Pēc līdzekļu saņemšanas no Modernizācijas fonda ministrijai ir jāizpilda saistības arī pret Eiropas Komisiju, katru gadu iesniedzot informāciju par apstiprināto investīciju īstenošanu un sasniegtajiem rezultātiem. Vienlaikus ar MK noteikumu projektu monitoringa prasības tiek daļēji atvieglotas — pašvaldībām un tiešās pārvaldes iestādēm nobraukuma prasība samazināta no 80 000 km uz 41 600 km. LPS ierosinātais detalizētais administratīvā sloga kvantitatīvais novērtējums (cilvēkstundas un izmaksas uz vienu kapitālsabiedrību) nav veikts, jo noteikumu projekts nerada jaunus administratīvos pienākumus salīdzinājumā ar spēkā esošo regulējumu, bet gan tos samazina.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ka šis noteikumu projekts paredz grozījumus jau iepriekš apstiprinātā atbalsta programmā. Projektu iesniedzēju dalība konkursā joprojām tiek balstīta uz brīvas gribas principu un neuzliek par obligātu pienākumu nedz pašvaldībām un to kapitālsabiedrībām, nedz citām projektu iesniedzēju grupām piedalīties konkursā un pretendēt uz finansējumu konkursa ietvaros atbalstāmo aktivitāšu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anotācijas 1.3. sadaļas 9. punktu "Precizējumi projekta iesnieguma iesniegšanas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lietotais formulējums "administratīvās sankcijas" ir juridiski nepietiekami precizēts, jo nav saprotams, vai ar to domāts konkrēts sankciju veids vai administratīvais sods. Lūdzam anotācijā precizēt lietoto terminoloģiju, skaidri norādot, vai ar to tiek domāti administratīvie sodi vai citas sankcijas.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Ar administratīva rakstura sankcijām noteikumu projekta izpratnē tiek saprast atteikums piešķirt finansējumu konkursa ietvaros, ja konstatēta apzināta nepatiesas informācijas sniegšana nolūkā iegūt finansējumu, kā arī lēmums, kas paredz piešķirtā finansējuma atcelšanu vai atgūšanu.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atkārtoto saskaņošanu nodotā noteikumu projekta 11. punkts būtiski precizēts, paredzot vairākus izslēgšanas nosacījumus, kuriem izpildoties, projekta iesniedzējs nevar pretendēt uz finansējuma piešķiršanu. Lūdzam anotāciju papildināt ar attiecīgu pamatojumu ierobežojumu noteikšanai un to samērīgumam, jo pašreiz anotācijā attiecīgs skaidrojums nav ietverts.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skaidrojumu par projektu iesniedzēju izslēgšanas kritērijiem.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13 </w:t>
            </w:r>
            <w:r w:rsidR="00000000" w:rsidRPr="00000000" w:rsidDel="00000000">
              <w:rPr>
                <w:rtl w:val="0"/>
              </w:rPr>
              <w:t xml:space="preserve">panta</w:t>
            </w:r>
            <w:r w:rsidR="00000000" w:rsidRPr="00000000" w:rsidDel="00000000">
              <w:rPr>
                <w:rtl w:val="0"/>
              </w:rPr>
              <w:t xml:space="preserve"> ceturto daļu un </w:t>
            </w:r>
            <w:r w:rsidR="00000000" w:rsidRPr="00000000" w:rsidDel="00000000">
              <w:rPr>
                <w:rtl w:val="0"/>
              </w:rPr>
              <w:t xml:space="preserve">Klimatnoturības un ekonomiskās ilgtspējas likuma 18. panta</w:t>
            </w:r>
            <w:r w:rsidR="00000000" w:rsidRPr="00000000" w:rsidDel="00000000">
              <w:rPr>
                <w:rtl w:val="0"/>
              </w:rPr>
              <w:t xml:space="preserve">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"Par piesārņojumu" 32.</w:t>
            </w:r>
            <w:r w:rsidR="00000000" w:rsidRPr="00000000" w:rsidDel="00000000">
              <w:rPr>
                <w:vertAlign w:val="superscript"/>
                <w:rtl w:val="0"/>
              </w:rPr>
              <w:t xml:space="preserve">13</w:t>
            </w:r>
            <w:r w:rsidR="00000000" w:rsidRPr="00000000" w:rsidDel="00000000">
              <w:rPr>
                <w:rtl w:val="0"/>
              </w:rPr>
              <w:t xml:space="preserve"> pants ir zaudējis spēku, atkārtoti lūdzam precizēt noteikumu izdošanas tiesiskā pamatojuma norādi. Proti, lūdzam svītrot norādi uz likuma "Par piesārņojumu" 32.</w:t>
            </w:r>
            <w:r w:rsidR="00000000" w:rsidRPr="00000000" w:rsidDel="00000000">
              <w:rPr>
                <w:vertAlign w:val="superscript"/>
                <w:rtl w:val="0"/>
              </w:rPr>
              <w:t xml:space="preserve">13</w:t>
            </w:r>
            <w:r w:rsidR="00000000" w:rsidRPr="00000000" w:rsidDel="00000000">
              <w:rPr>
                <w:rtl w:val="0"/>
              </w:rPr>
              <w:t xml:space="preserve">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atsauces saglabāšana uz likuma "Par piesārņojumu" deleģējumu noteikumu grozījumu projekta tiesiskajā pamatojumā ir veikta, balstoties uz konsultāciju ar Valsts kancelejas pārstāvjiem citu atbalsta programmu grozījumu izstrādes ietvaros. Atsauces saglabāšana ir nepieciešama, lai nodrošinātu tiesisko pēctecību, jo šis tiesību akts (MK noteikumi Nr. 701) ir pieņemts laikā, kad minētais likums vēl bija spēkā. Tā kā sagatavotais noteikumu grozījumu projekts paredz tikai atsevišķus grozījumus esošajos noteikumos, nevis pilnīgi jauna regulējuma izdošanu, noteikumu vēsturiskais un sākotnējais tiesiskais pamatojums netiek mainīts. Šo noteikumu juridisko spēku un nepārtrauktību pēc pamatlikuma spēka zaudēšanas uztur jaunā Klimatnoturības un ekonomiskās ilgtspējas likuma pārejas noteikumi. Tiesiskais pamatojums atsauces saglabāšanai uz likumu "Par piesārņojumu" izriet no Klimatnoturības un ekonomiskās ilgtspējas likuma pārejas noteikumu 13. punkta 10. apakšpunkta. Minētā norma skaidri nosaka, ka līdz 2035. gada 31. decembrim ir piemērojami Ministru kabineta 2024. gada 5. novembra noteikumi Nr. 701 "Modernizācijas fonda finansēto projektu atklāta konkursa "Energoefektivitātes paaugstināšana transporta sektorā — atbalsts elektromobiļu un to uzlādes infrastruktūras ieviešanai" nolikums", ciktāl tie nav pretrunā ar jauno likumu. Tā kā šī pārejas norma juridiski uztur minēto noteikumu spēku un nepārtrauktību, to tiesiskajā pamatojumā ir jāsaglabā sākotnējais deleģējums, uz kura pamata noteikumi savulaik tikuši izdoti.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Modernizācijas fonda finansēto projektu atklāta konkursa "Energoefektivitātes uzlabošana transporta sektorā – atbalsts elektromobiļu un to uzlādes infrastruktūras ieviešanai" (turpmāk – konkurss) nolikumu,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Modernizācijas fonda līdzekļu atgūšanas nosacījumus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kabinets nedrīkst noteikt soda sekas, ja rezultātā projekta iesnieguma iesniedzējs un atbalsta saņēmējs konkursa ietvaros nevar pretendēt uz finansējuma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Likumdevējam ir jānoteic vadlīnijas vai skaidrojumus, kā pilnvarojumu īstenot. Turklāt, ja kritēriju un kārtības noteikšana ir saistīta ar soda sekām, tad Ministru kabinets šādus jautājumus vispār nedrīkstētu regulēt. </w:t>
            </w:r>
            <w:r w:rsidR="00000000" w:rsidRPr="00000000" w:rsidDel="00000000">
              <w:rPr>
                <w:b w:val="1"/>
                <w:rtl w:val="0"/>
              </w:rPr>
              <w:t xml:space="preserve">Ar sodiem, to sekām saistītie jautājumi ir jāregulē likumdevējam.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 ka spēkā esošajā regulējumā, piemēram, ir sastopamas līdzīgas tiesību normas, nav izšķirošas  nozīmes. Tāpat nav nozīmes tam, ja iepriekš, izstrādājot normatīvos aktus, Ministru kabinetam tika uzdots noteikt ar sodiem, to noteikšanu, izpildi un sekām saistītus kritērijus un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ir pienākums pastāvīgi pārbaudīt un pilnveidot normatīvo regulējumu (</w:t>
            </w:r>
            <w:r w:rsidR="00000000" w:rsidRPr="00000000" w:rsidDel="00000000">
              <w:rPr>
                <w:i w:val="1"/>
                <w:rtl w:val="0"/>
              </w:rPr>
              <w:t xml:space="preserve">sk. Valsts pārvaldes iekārtas likuma 10.</w:t>
            </w:r>
            <w:r w:rsidR="00000000" w:rsidRPr="00000000" w:rsidDel="00000000">
              <w:rPr>
                <w:rtl w:val="0"/>
              </w:rPr>
              <w:t xml:space="preserve"> </w:t>
            </w:r>
            <w:r w:rsidR="00000000" w:rsidRPr="00000000" w:rsidDel="00000000">
              <w:rPr>
                <w:i w:val="1"/>
                <w:rtl w:val="0"/>
              </w:rPr>
              <w:t xml:space="preserve">panta desmito daļu</w:t>
            </w:r>
            <w:r w:rsidR="00000000" w:rsidRPr="00000000" w:rsidDel="00000000">
              <w:rPr>
                <w:rtl w:val="0"/>
              </w:rPr>
              <w:t xml:space="preserve">). Tāpat ir nepieciešams regulāri veikt spēkā esošo tiesību aktu ietekmes pēcpārbaudi, lai pārliecinātos, vai normatīvais regulējums joprojām ir nepieciešams, nerada nelabvēlīgas sekas, atbilst tā izstrādes mērķim, pašreizējai sociālajai un tiesiskajai situācijai (</w:t>
            </w:r>
            <w:r w:rsidR="00000000" w:rsidRPr="00000000" w:rsidDel="00000000">
              <w:rPr>
                <w:i w:val="1"/>
                <w:rtl w:val="0"/>
              </w:rPr>
              <w:t xml:space="preserve">Krūmiņa I. Kādi faktori kavē efektīvu tiesību aktu un rīcībpolitiku ex-post izvērtēšanu Latvijā? Pētījuma galaziņojums. Rīga: Latvijas Republikas Saeima, 2024, 2. lpp.</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ar situācijas izklāstu.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Modernizācijas fonda finansēto projektu atklāta konkursa "Energoefektivitātes paaugstināšana transporta sektorā – atbalsts elektromobiļu un to uzlādes infrastruktūras ieviešanai" (turpmāk – konkurss) nolikumu,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Modernizācijas fonda līdzekļu atgūšanas nosacījumus un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Komersantiem atbalstu aktivitāšu īstenošanai sniedz saskaņā ar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Ja komersantam nav pieejams </w:t>
            </w:r>
            <w:r w:rsidR="00000000" w:rsidRPr="00000000" w:rsidDel="00000000">
              <w:rPr>
                <w:i w:val="1"/>
                <w:rtl w:val="0"/>
              </w:rPr>
              <w:t xml:space="preserve">de minimis</w:t>
            </w:r>
            <w:r w:rsidR="00000000" w:rsidRPr="00000000" w:rsidDel="00000000">
              <w:rPr>
                <w:rtl w:val="0"/>
              </w:rPr>
              <w:t xml:space="preserve"> limits vismaz granta ekvivalenta apmērā, kā arī, ja atbalsta pretendents ir saimnieciskās darbības veicējs lauksaimniecības nozarē, zemnieku saimniecība, kas nodarbojas ar lauksaimniecības primārās produkcijas ražošanu, un kooperatīvā sabiedrība lauksaimniecības nozarē, atbalstu sniedz saskaņā ar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regula Nr. </w:t>
            </w:r>
            <w:r w:rsidR="00000000" w:rsidRPr="00000000" w:rsidDel="00000000">
              <w:rPr>
                <w:rtl w:val="0"/>
              </w:rPr>
              <w:t xml:space="preserve">651/2014</w:t>
            </w:r>
            <w:r w:rsidR="00000000" w:rsidRPr="00000000" w:rsidDel="00000000">
              <w:rPr>
                <w:rtl w:val="0"/>
              </w:rPr>
              <w:t xml:space="preserve">), 36.a vai 36.b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saimnieciskās darbības veicēji lauksaimniecības nozarē var būt arī komersanti, bet saskaņā ar Komisijas 2023. gada 13. decembra Regulu (ES) Nr. 2023/2831 par Līguma par Eiropas Savienības darbību 107. un 108. panta piemērošanu de minimis atbalstam, atbalstu primārajiem lauksaimniecības produkcijas ražotājiem nevar piešķirt. Tādēļ aicinām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vai kooperatīvajām sabiedrībām atbalstu aktivitāšu īstenošanai sniedz saskaņā ar Komisijas 2023. gada 13. decembra Regulu (ES) Nr. 2023/2831 par Līguma par Eiropas Savienības darbību 107. un 108. panta piemērošanu de minimis atbalstam (turpmāk – regula Nr. 2023/2831) un normatīvajiem aktiem par de minimis atbalsta uzskaites un piešķiršanas kārtību. Ja komersantam vai kooperatīvajai sabiedrībai nav pieejams de minimis limits vismaz granta ekvivalenta apmērā, kā arī, ja atbalsta pretendents ir saimnieciskās darbības veicējs, kas nodarbojas ar lauksaimniecības produktu primāro ražošanu, atbalstu sniedz saskaņā ar Komisijas 2014. gada 17. jūnija regulas (ES) Nr. 651/2014, ar ko noteiktas atbalsta kategorijas atzīst par saderīgām ar iekšējo tirgu, piemērojot Līguma 107. un 108. pantu (turpmāk – regula Nr. 651/2014), 36.a vai 36.b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4. punkts precizēts, atspoguļojot pārstrukturēto saņēmēju loku (sk. arī 9.4. un 9.5. apakšpunktu). Savukārt vispārīgais formulējums „kooperatīvās sabiedrības" precizēts kā „lauksaimniecības un mežsaimniecības pakalpojumu kooperatīvās sabiedrības", lai saņēmēju loks attiektos tieši uz kooperatīvajām sabiedrībām, kas darbojas lauksaimniecības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Komersantiem vai lauksaimniecības un mežsaimniecības pakalpojumu kooperatīvajām sabiedrībām atbalstu aktivitāšu īstenošanai sniedz saskaņā ar Komisijas 2023. gada 13. decembra Regulu (ES) Nr. </w:t>
            </w:r>
            <w:r w:rsidR="00000000" w:rsidRPr="00000000" w:rsidDel="00000000">
              <w:rPr>
                <w:rtl w:val="0"/>
              </w:rPr>
              <w:t xml:space="preserve">2023/2831</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w:t>
            </w:r>
            <w:r w:rsidR="00000000" w:rsidRPr="00000000" w:rsidDel="00000000">
              <w:rPr>
                <w:rtl w:val="0"/>
              </w:rPr>
              <w:t xml:space="preserve">2023/2831</w:t>
            </w:r>
            <w:r w:rsidR="00000000" w:rsidRPr="00000000" w:rsidDel="00000000">
              <w:rPr>
                <w:rtl w:val="0"/>
              </w:rPr>
              <w:t xml:space="preserve">)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Ja komersantam vai lauksaimniecības un mežsaimniecības pakalpojumu kooperatīvajai sabiedrībai nav pieejams </w:t>
            </w:r>
            <w:r w:rsidR="00000000" w:rsidRPr="00000000" w:rsidDel="00000000">
              <w:rPr>
                <w:i w:val="1"/>
                <w:rtl w:val="0"/>
              </w:rPr>
              <w:t xml:space="preserve">de minimis</w:t>
            </w:r>
            <w:r w:rsidR="00000000" w:rsidRPr="00000000" w:rsidDel="00000000">
              <w:rPr>
                <w:rtl w:val="0"/>
              </w:rPr>
              <w:t xml:space="preserve"> limits vismaz granta ekvivalenta apmērā, kā arī, ja atbalsta pretendents ir saimnieciskās darbības veicējs, kas nodarbojas ar lauksaimniecības produktu primāro ražošanu, atbalstu sniedz saskaņā ar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regula Nr. </w:t>
            </w:r>
            <w:r w:rsidR="00000000" w:rsidRPr="00000000" w:rsidDel="00000000">
              <w:rPr>
                <w:rtl w:val="0"/>
              </w:rPr>
              <w:t xml:space="preserve">651/2014</w:t>
            </w:r>
            <w:r w:rsidR="00000000" w:rsidRPr="00000000" w:rsidDel="00000000">
              <w:rPr>
                <w:rtl w:val="0"/>
              </w:rPr>
              <w:t xml:space="preserve">), 36.a vai 36.b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Šo noteikumu ietvaros saimnieciskās darbības veicējam lauksaimniecības nozarē, zemnieku saimniecībai, kas nodarbojas ar lauksaimniecības primārās produkcijas ražošanu, un kooperatīvajai sabiedrībai lauksaimniecības nozarē tiek piemēroti nosacījumi, kas attiecināmi uz komersantu, tostarp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noteiktā definīcija.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saimnieciskās darbības veicēji lauksaimniecības nozarē var būt arī komersanti, bet saskaņā ar Komisijas 2023. gada 13. decembra Regulu (ES) Nr. 2023/2831 par Līguma par Eiropas Savienības darbību 107. un 108. panta piemērošanu de minimis atbalstam, atbalstu primārajiem lauksaimniecības produkcijas ražotājiem nevar piešķirt. Tādēļ aicinām precizēt redakciju  "saimnieciskās darbības veicējam lauksaimniecības nozarē, zemnieku saimniecībai, kas nodarbojas ar lauksaimniecības primārās produkcijas ražošanu, un kooperatīvajai sabiedrībai lauksaimniecības nozarē" aizstājot to ar “saimnieciskās darbības veicējam, kas nodarbojas ar lauksaimniecības produktu primāro ražošanu un kooperatīvajai sabiedrībai".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ietvaros saimnieciskās darbības veicējam, kas nodarbojas ar lauksaimniecības produktu primāro ražošanu un kooperatīvajai sabiedrībai tiek piemēroti nosacījumi, kas attiecināmi uz komersantu, tostarp šo noteikumu 5. punktā noteiktā definīcija.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5.</w:t>
            </w:r>
            <w:r w:rsidR="00000000" w:rsidRPr="00000000" w:rsidDel="00000000">
              <w:rPr>
                <w:vertAlign w:val="superscript"/>
                <w:rtl w:val="0"/>
              </w:rPr>
              <w:t xml:space="preserve">1 </w:t>
            </w:r>
            <w:r w:rsidR="00000000" w:rsidRPr="00000000" w:rsidDel="00000000">
              <w:rPr>
                <w:rtl w:val="0"/>
              </w:rPr>
              <w:t xml:space="preserve">punkts precizēts atbilstoši pārstrukturētajam saņēmēju lokam, norādot uz „saimnieciskās darbības veicēju, kas nodarbojas ar lauksaimniecības produktu primāro ražošanu" (kas ietver arī zemnieku saimniecības kā šīs kategorijas apakšgadījumu) un „lauksaimniecības un mežsaimniecības pakalpojumu kooperatīvo sabiedrību". Vispārīgais formulējums „kooperatīvās sabiedrības" precizētas kā „lauksaimniecības un mežsaimniecības pakalpojumu kooperatīvās sabiedrības", lai saņēmēju loks attiektos tieši uz kooperatīvajām sabiedrībām, kas darbojas lauksaimniecības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Šo noteikumu ietvaros saimnieciskās darbības veicējam, kas nodarbojas ar lauksaimniecības produktu primāro ražošanu, un lauksaimniecības un mežsaimniecības pakalpojumu kooperatīvajai sabiedrībai tiek piemēroti nosacījumi, kas attiecināmi uz komersantu, tostarp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noteiktā definīcija.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saimnieciskās darbības veicējs lauksaimniecības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izteiktajiem iebildumiem nepieciešams precizēt atbalsta saņēmēju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veicējs, kas nodarbojas ar lauksaimniecības produktu primāro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9.4. apakšpunkts precizēts atbilstoši ierosinātajai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saimnieciskās darbības veicējs, kas nodarbojas ar lauksaimniecības produktu primāro ražošanu;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zemnieku saimniecība, kas nodarbojas ar lauksaimniecības primārās produkcijas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izteiktajiem iebildumiem nepieciešams precizēt atbalsta saņēmēju loku.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kooperatīvā sabiedrība.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9.4. apakšpunkts precizēts atbilstoši ierosinātajai redakcijai. Vispārīgais formulējums „kooperatīvās sabiedrības" precizētas kā „lauksaimniecības un mežsaimniecības pakalpojumu kooperatīvās sabiedrības", lai saņēmēju loks attiektos tieši uz kooperatīvajām sabiedrībām, kas darbojas lauksaimniecības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lauksaimniecības un mežsaimniecības pakalpojumu kooperatīvā sabiedrība.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 kooperatīvā sabiedrība lauksaimniecības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iepriekš izteiktajiem iebildumiem precizējot atbalsta saņēmēju loku, 9.6.apakšpunktu lūdzam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kooperatīvās sabiedrības lauksaimniecības nozarē iekļautas precizētajā 9.5. apakšpunktā kā „lauksaimniecības un mežsaimniecības pakalpojumu kooperatīvā sabiedrība", 9.6. apakšpunkts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samērīguma izvērtējumu par to, vai plānotais personas tiesību uz datu aizsardzību ierobežojums ir samērīgs, attiecīgi precizējot projektu kopumā. Noteikumu projektā noteikti nosacījumi, kādiem ir jāatbilst noteikumu projekta iesniedzējam, lai pretendētu uz finansējumu projekta īstenošanai, tajā skaitā noteikumu projekts paredz, ka tiek vērtēta projekta iesniedzēja vai personas, kura ir projekta iesniedzēja valdes vai padomes locekļa vai prokūrista, vai personas, kura ir pilnvarota pārstāvēt projekta iesniedzēju, atbilstība noteiktām prasībām. No minētā saprotams, ka tiks apstrādāti dažādu datu subjektu dati, tajā skaitā arī tādi dati, kas ir īpaši sensitīvi - sodāmības dati. Turklāt, lai gan noteikumu projekts neparedz minēto personu identifikācijas datu iesniegšanu, piemēram, valdes locekļa datu iesniegšanu, tomēr no noteikumu projekta secināms, ka šādu personu datu apstrāde var tikt veikta. Attiecīgi nav izprotams, no kādiem avotiem tie tiks iegūti. Papildus norādām, ka anotācijā nav sniegts skaidrojums, kas pamatotu tik plašu personu loku un šādu datu apstrādi, kā arī kopumā ir šaubas par šādas personas datu apstrādes samērīgumu.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ir sodīta par noziedzīgu nodarījumu, kas paredzēts </w:t>
            </w:r>
            <w:r w:rsidR="00000000" w:rsidRPr="00000000" w:rsidDel="00000000">
              <w:rPr>
                <w:rtl w:val="0"/>
              </w:rPr>
              <w:t xml:space="preserve">Krimināllikuma</w:t>
            </w:r>
            <w:r w:rsidR="00000000" w:rsidRPr="00000000" w:rsidDel="00000000">
              <w:rPr>
                <w:rtl w:val="0"/>
              </w:rPr>
              <w:t xml:space="preserve"> IX, IX¹, X, XIX, XXII vai XXIV nodaļā, vai par sevišķi smagu noziegumu, un sodāmība par to nav noņemta vai dzēsta. Šo nosacījumu piemēro arī attiecībā uz ārvalstī izdarītu noziedzīgu nodarījumu, kas atbilst kādam no minētajiem noziedzīgajiem nodarījumiem;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precizēt noteikumu projektu līdz tādai pakāpei, lai ikvienam būtu saprotams, ka noteikumu projekta 11. punktā ietvertie ierobežojumi nav saistīti ar sodiem vai to sekām.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pārliecības, ka noteikumu 11. punktā minētie ierobežojumi būtībā nav soda sekas. Ar sodiem un to sekām saistītus jautājumus neregulē Ministru kabinets. Sodoša rakstura (arī ar sankcijām vai to sekām saistīti) izslēgšanas kritēriji pamatā nosakāmi likumā, nevis Ministru kabineta noteikumu līmenī, līdzīgi kā izņēmumi no šādu kritēriju piemērošanas. Alternatīvi anotācijā var ietvert izvērstu skaidrojumu par noteikumu projekta 11. punktā minētajiem kritērijiem, argumentēti pamatojot, kāpēc šie kritēriji nav uzskatāmi par soda sekām.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ir sodīta par noziedzīgu nodarījumu, kas paredzēts </w:t>
            </w:r>
            <w:r w:rsidR="00000000" w:rsidRPr="00000000" w:rsidDel="00000000">
              <w:rPr>
                <w:rtl w:val="0"/>
              </w:rPr>
              <w:t xml:space="preserve">Krimināllikuma</w:t>
            </w:r>
            <w:r w:rsidR="00000000" w:rsidRPr="00000000" w:rsidDel="00000000">
              <w:rPr>
                <w:rtl w:val="0"/>
              </w:rPr>
              <w:t xml:space="preserve"> IX, IX¹, X, XIX, XXII vai XXIV nodaļā, vai par sevišķi smagu noziegumu, un sodāmība par to nav noņemta vai dzēsta. Šo nosacījumu piemēro arī attiecībā uz ārvalstī izdarītu noziedzīgu nodarījumu, kas atbilst kādam no minētajiem noziedzīgajiem nodarījumiem;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radītu viennozīmīgu izpratni par izsniedzamo ziņu apjomu no valsts informācijas sistēmas "Sodu reģistrs", ņemot vērā, ka minētajā valsts informācijas sistēmā ziņas tiek atlasītas pēc noteiktiem kritērijiem, papildināt projekta sākotnējās ietekmes novērtējuma ziņojumu (anotāciju), norādot konkrētas Krimināllikuma normas, kā arī administratīvo pārkāpumu veidus, uz kuriem attiecas projekta 11.2. un 11.2.</w:t>
            </w:r>
            <w:r w:rsidR="00000000" w:rsidRPr="00000000" w:rsidDel="00000000">
              <w:rPr>
                <w:vertAlign w:val="superscript"/>
                <w:rtl w:val="0"/>
              </w:rPr>
              <w:t xml:space="preserve">2</w:t>
            </w:r>
            <w:r w:rsidR="00000000" w:rsidRPr="00000000" w:rsidDel="00000000">
              <w:rPr>
                <w:rtl w:val="0"/>
              </w:rPr>
              <w:t xml:space="preserve"> apakšpunktā noteiktās prasības, lai nodrošinātu iespēju pārbaudīt, vai projekta iesniedzējs vai atbalsta saņēmējs nav atzīts par vainīgu kādā no minētajos apakšpunktos norādītajiem noziedzīgajiem nodarījumiem vai administratīvajiem pārkāpumiem.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attiecīgā norma ir precizēta, paredzot, ka konkursa ietvaros finansējums projekta īstenošanai netiek piešķirts, ja projekta iesniedzējs vai persona, kura ir projekta iesniedzēja valdes vai padomes loceklis vai prokūrists, vai persona, kura ir pilnvarota pārstāvēt projekta iesniedzēju, ir sodīta par tīšu noziedzīgu nodarījumu, ja sodāmība par to nav noņemta vai dzēsta. Līdz ar to no valsts informācijas sistēmas "Sodu reģistrs" informācija tiek iegūta tādā apjomā, lai nodrošinātu minētā nosacījuma pārbaudi.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ir sodīta par noziedzīgu nodarījumu, kas paredzēts </w:t>
            </w:r>
            <w:r w:rsidR="00000000" w:rsidRPr="00000000" w:rsidDel="00000000">
              <w:rPr>
                <w:rtl w:val="0"/>
              </w:rPr>
              <w:t xml:space="preserve">Krimināllikuma</w:t>
            </w:r>
            <w:r w:rsidR="00000000" w:rsidRPr="00000000" w:rsidDel="00000000">
              <w:rPr>
                <w:rtl w:val="0"/>
              </w:rPr>
              <w:t xml:space="preserve"> IX, IX¹, X, XIX, XXII vai XXIV nodaļā, vai par sevišķi smagu noziegumu, un sodāmība par to nav noņemta vai dzēsta. Šo nosacījumu piemēro arī attiecībā uz ārvalstī izdarītu noziedzīgu nodarījumu, kas atbilst kādam no minētajiem noziedzīgajiem nodarījumiem;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r w:rsidR="00000000" w:rsidRPr="00000000" w:rsidDel="00000000">
              <w:rPr>
                <w:vertAlign w:val="superscript"/>
                <w:rtl w:val="0"/>
              </w:rPr>
              <w:t xml:space="preserve">2</w:t>
            </w:r>
            <w:r w:rsidR="00000000" w:rsidRPr="00000000" w:rsidDel="00000000">
              <w:rPr>
                <w:rtl w:val="0"/>
              </w:rPr>
              <w:t xml:space="preserve"> projekta iesniedzējs ar tādu kompetentas institūcijas lēmumu vai tiesas spriedumu, kas stājies spēkā un kļuvis neapstrīdams un nepārsūdzams, ir atzīts par vainīgu un sodīts par personas nodarbināšanu bez rakstveidā noslēgta darba līguma vai nodokļu normatīvajos aktos noteiktajā termiņā par šo personu neiesniegtu informatīvo deklarāciju par darba 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anotācijā nav ietverts argumentēts pamatojums noteikumu 11.2.</w:t>
            </w:r>
            <w:r w:rsidR="00000000" w:rsidRPr="00000000" w:rsidDel="00000000">
              <w:rPr>
                <w:b w:val="1"/>
                <w:vertAlign w:val="superscript"/>
                <w:rtl w:val="0"/>
              </w:rPr>
              <w:t xml:space="preserve">2</w:t>
            </w:r>
            <w:r w:rsidR="00000000" w:rsidRPr="00000000" w:rsidDel="00000000">
              <w:rPr>
                <w:b w:val="1"/>
                <w:rtl w:val="0"/>
              </w:rPr>
              <w:t xml:space="preserve"> apakšpunkta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izvērstu un argumentētu skaidrojumu par attiecīgā grozījuma mērķi un nepieciešamību, kā arī izvērtēt un pamatot šajā normā ietverto ierobežojumu atbilstību tiesiskuma principiem, tostarp to nepieciešamību, pieļaujamību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lūdzam noteikumu projekta anotācijā skaidri norādīt, kāpēc finansējuma nepiešķiršana paredzēta tieši par pārkāpumiem nodarbinātības jomā, kā arī pamatot, kādēļ attiecībā uz citiem, iespējams, līdzvērtīgiem vai ne mazāk smagiem pārkāpumiem šāds regulējums netiek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Attiecīgais noteikumu projekta punkts un izslēgšanas kritērijs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Lai pārbaudītu, vai projekta iesniedzējs vai atbalsta saņēmējs nav atzīts par vainīgu kādā no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minētajiem noziedzīgajiem nodarījumiem un </w:t>
            </w:r>
            <w:r w:rsidR="00000000" w:rsidRPr="00000000" w:rsidDel="00000000">
              <w:rPr>
                <w:rtl w:val="0"/>
              </w:rPr>
              <w:t xml:space="preserve">11.2.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minētajiem administratīvajiem pārkāpumiem, Vides investīciju fonds informāciju iegūst no Iekšlietu ministrijas Informācijas centra pārziņā esošās valsts informācijas sistēmas "Sodu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samērīguma izvērtējumu par plānoto personas datu iegūšanu no Iekšlietu ministrijas Informācijas centra pārziņā esošās valsts informācijas sistēmas "Sodu reģistrs", anotācijā sniedzot skaidrojumu, kādēļ nav pietiekams projekta iesniedzēja apliecinājums tā atbilstībai kritērijiem, bet dati vēl ir iegūstami no valsts informācijas sistēmas "Sodu reģistrs". Papildus norādām, ka sodāmības datu apstrādei ir jāatbilst Datu regulas 10.panta prasībām, tajā skaitā ir nepieciešams paredzēt atbilstošas garantijas datu subjektu tiesībām un brīvībām.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Lai pārbaudītu, vai uz projekta iesniedzēju vai personu, kura ir projekta iesniedzēja valdes vai padomes loceklis vai prokūrists, vai personu, kura ir pilnvarota pārstāvēt projekta iesniedzēju, nav attiecināms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minētais nosacījums, Vides investīciju fonds informāciju iegūst no Iekšlietu digitālā centra pārziņā esošās valsts informācijas sistēmas "Sodu reģistrs" un Eiropas Sodāmības reģistru informācijas sistēmas.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personas piekrišanu tā datu apstrādei atbilstoši Datu regulas[1] nosacījumiem vai arī noteikumu projektā to dzēst. Pielikuma 4.1.punkts paredz, ka projekta iesniedzējs piekrīt, ka Vides investīciju fonds pārbaudīs informāciju par to, vai iesniegumā un tā pielikumos iekļautā informācija, tajā skaitā atbilstību prasībām, ir patiesa un nav sagrozīta. Šāda piekrišana pēc būtības ir uzskatāma par personas piekrišanu tā datu apstrādei. Norādām, ka personas piekrišana šādā gadījumā nav uzskatāma par tiesisko pamatu personas datu apstrādei, jo piekrišana nav uzskatāma par brīvi sniegtu un kopumā neatbilst Datu regulas 7.pantā noteiktajiem nosacījumiem, kādai jāatbilst piekrišanai. Skaidrojam, ka atbilstoši Datu regulas 4. panta 11. punktam un 7.pantā noteiktajiem nosacījumiem personas piekrišanai ir jābūt brīvi sniegtai. Savukārt, no noteikumu projekta saprotams, ka Vides investīciju fondam nepieciešams iegūt informāciju par personas atbilstību noteiktajām prasībām, tādēļ personai nolūkā saņemt finansējumu projekta īstenošanai nepastāv brīva izvēle savu datu apstrādei (finansējuma saņemšana ir atkarīga no piekrišanas sniegšanas). Proti, ja persona vēlas pieteikties projektam, lai saņemtu finansējumu, tai ir jāsniedz piekrišana datu apstrādei un šādā gadījumā nevar uzskatīt, ka piekrišana ir sniegta brīvi.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datu apstrādi pamatot ar citu tiesisko pamatu, piemēram, Datu regulas 6. panta 1. punkta c) vai e) apakšpunktu, ja apstrāde ir vajadzīga, lai uz pārzini attiecināmu juridisku pienākumu vai lai izpildītu uzdevumu, ko veic sabiedrības interesēs vai īstenojot pārzinim likumīgi piešķirtās oficiālās pilnvaras.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iebildums tiek attiecināts arī uz pielikumā ietverto piekrišanu datu iegūšanai no Valsts ieņēmumu dienesta par to, vai projekta iesniedzējam nav Valsts ieņēmumu dienesta administrēto nodokļu parādu.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2016. gada 27. aprīļa regula Nr. 2016/679 par fizisku personu aizsardzību attiecībā uz personas datu apstrādi un šādu datu brīvu apriti un ar ko atceļ Direktīvu 95/46/EK (Vispārīgā datu aizsardzības regula) (turpmāk – Datu regula)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iesnieguma veidlapas 4.1. apakšpunkts, kā arī svītrota norāde par piekrišanu informācijas ieguvei no Valsts ieņēmumu dienesta.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5. novembra noteikumos Nr. 701 "Modernizācijas fonda finansēto projektu atklāta konkursa "Energoefektivitātes paaugstināšana transporta sektorā – atbalsts elektromobiļu un to uzlādes infrastruktūras ieviešanai"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noteikumu projektā paredzēt atbalstu arī lietotu elektromobiļu iegādei saimnieciskās darbības veicējiem, kas nodarbojas ar lauksaimniecības produktu primāro ražošanu, jo lauksaimniecības nozarē šāds risinājums varētu būt ekonomiski samērīgāks un praktiski pieejamāks, vienlaikus saglabājot projekta mērķi veicināt bezemisiju transportlīdzekļu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Lietotu elektromobiļu iegāde programmā netiks iekļauta. Atbalstāmās aktivitātes ir saskaņotas ar Eiropas Investīciju bankā iesniegto un 2023. gada martā apstiprināto investīciju priekšlikumu “Energoefektivitātes paaugstināšana transporta sektorā – atbalsts elektromobiļu un to uzlādes infrastruktūras ieviešanai” (</w:t>
            </w:r>
            <w:r w:rsidR="00000000" w:rsidRPr="00000000" w:rsidDel="00000000">
              <w:rPr>
                <w:i w:val="1"/>
                <w:rtl w:val="0"/>
              </w:rPr>
              <w:t xml:space="preserve">Energy efficiency in transport sector – support for introduction of electric vehicles and corresponding charging </w:t>
            </w:r>
            <w:r w:rsidR="00000000" w:rsidRPr="00000000" w:rsidDel="00000000">
              <w:rPr>
                <w:i w:val="1"/>
                <w:rtl w:val="0"/>
              </w:rPr>
              <w:t xml:space="preserve">infrastructur</w:t>
            </w:r>
            <w:r w:rsidR="00000000" w:rsidRPr="00000000" w:rsidDel="00000000">
              <w:rPr>
                <w:rtl w:val="0"/>
              </w:rPr>
              <w:t xml:space="preserve">e), kas paredz atbalstu vienīgi jaunu bezemisiju transportlīdzekļu iegādei. Lietotu transportlīdzekļu iekļaušana radītu arī metodoloģiskas grūtības atbalsta aprēķinā, jo Komisijas regulas Nr. 651/2014 36.b pantā attiecināmās izmaksas nosakāmas kā papildu investīciju izmaksas salīdzinājumā ar līdzvērtīgas klases jaunu iekšdedzes dzinēja transportlīdzekli. Turklāt jauna elektromobiļa iegāde nodrošina lielāku un ilgtermiņā noturīgāku SEG emisiju ietaupījumu un publiskā finansējuma efektīvu izmantošanu. Lietotu elektromobiļu tehniskais stāvoklis, jo īpaši baterijas kapacitāte un atlikušais kalpošanas laiks, var būtiski atšķirties atkarībā no vecuma, ekspluatācijas apstākļiem un iepriekšējās lietošanas intensitātes, tostarp attiecībā pret ražotāja noteikto baterijas paredzamo kalpošanas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lauksaimniecības nozares saņēmējiem netiek piemēroti stingrāki nosacījumi nekā pārējiem saņēmējiem — visām atbalsta saņēmēju grupām vienādi ir pieejama tikai jaunu elektromobiļu iegāde, tādējādi nodrošinot vienlīdzīgu attieksmi.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5. novembra noteikumos Nr. 701 "Modernizācijas fonda finansēto projektu atklāta konkursa "Energoefektivitātes paaugstināšana transporta sektorā – atbalsts elektromobiļu un to uzlādes infrastruktūras ieviešanai"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Satiksmes ministrija atzinumā norādīja uz nepieciešamību izstrādāt atsevišķu atbalsta programmu velosipēdiem, tai skaitā kravas velosipēdiem un saistītajai infrastruktūrai. Izziņā norādīts, ka minētais priekšlikums pārsniedz konkrētās atbalsta programmas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izziņā ietverto skaidrojumu pie Satiksmes ministrijas iebilduma, norādot, ka Klimata un enerģētikas ministrija jau ir apņēmusies sadarbībā ar Satiksmes ministriju izstrādāt priekšlikumus mikromobilitātes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izriet no Klimata un enerģētikas ministrijas 2026. gada 30. aprīļa vēstules Nr. 1-15/1118 "Par Ministru kabineta 2026. gada 21. aprīļa sēdes protokolu Nr. 22 43. §", kurā, atsaucoties uz Ministru kabineta protokollēmuma 6. punktu, norādīts, ka Klimata un enerģētikas ministrija sadarbībā ar Satiksmes ministriju līdz 2026. gada 1. septembrim izstrādās priekšlikumus mikromobilitātes atbalsta pasākumu īstenošanai un iesniegs tos izskatīšanai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Klimata un enerģētikas ministrija sadarbībā ar Satiksmes ministriju ir apņēmusies izstrādāt priekšlikumus mikromobilitātes atbalsta pasākumiem, balstoties uz Aktualizētajā enerģētikas un klimata plānā 2021. – 2030. gadam identificētajiem pasākumiem, vienlaikus nodrošinot sinerģiju ar Latvijas Sociālā klimata fonda plānā 2026. – 2032. gadam paredzētajiem pasākumiem. Minētais izriet no Klimata un enerģētikas ministrijas 2026. gada 30. aprīļa vēstules Nr. 1-15/1118 „Par Ministru kabineta 2026. gada 21. aprīļa sēdes protokolu Nr. 22 43. §", kurā, atsaucoties uz Ministru kabineta protokollēmuma 6. punktu, norādīts, ka Klimata un enerģētikas ministrija sadarbībā ar Satiksmes ministriju līdz 2026. gada 1. septembrim izstrādās priekšlikumus mikromobilitātes atbalsta pasākumu īstenošanai un iesniegs tos izskatīšanai Ministru kabinetā. Tādējādi velosipēdu un mikromobilitātes atbalsta jautājums tiks risināts atsevišķi izstrādājamā priekšlikumā, nevis šī konkursa ietvaros, kura tvērums aprobežojas ar mehānisko transportlīdzekļu (M1, N1, M2, N2 kategorijas elektromobiļu) un to uzlādes infrastruktūras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tiks nodrošināta demarkācija ar Eiropas Savienības kohēzijas politikas programmas 2021.–2027. gadam 6.1.1. specifiskā atbalsta mērķa "Pārejas uz klimatneitralitāti radīto ekonomisko, sociālo un vides seku mazināšana visvairāk skartajos reģionos" 6.1.1.6. pasākumu "Bezemisiju transportlīdzekļu izmantošanas veicināšana pašvaldībās".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sadaļu "Informācija par demarkāciju ar citām atbalsta programmām" -  skaidrojumu par demarkāciju acitiem finanšu avotiem, tostarp starp šo konkursu un Eiropas Savienības kohēzijas politikas programmas 2021.–2027. gadam 6.1.1. specifiskā atbalsta mērķa „Pārejas uz klimatneitralitāti radīto ekonomisko, sociālo un vides seku mazināšana visvairāk skartajos reģionos" 6.1.1.6. pasākumu „Bezemisiju transportlīdzekļu izmantošanas veicināšana pašvaldībās".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papildus skaidrojams, ka ar noteikumu projektā lietoto jēdzienu “saimnieciskās darbības veicējs, kas nodarbojas ar lauksaimniecības produktu primāro ražošanu” saprotams atbalsta pretendents, kas neatkarīgi no tā juridiskās formas faktiski veic lauksaimniecības produktu primāro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jēdziens var aptvert, piemēram, kapitālsabiedrību, tostarp sabiedrību ar ierobežotu atbildību vai akciju sabiedrību, zemnieku saimniecību, individuālo uzņēmumu, fizisku personu, kas reģistrēta kā saimnieciskās darbības veicējs, vai citu subjektu, ja tas faktiski veic lauksaimniecības produktu primāro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izvērtēšanā var ņemt vērā arī atbalsta pretendenta saimnieciskās darbības veidu atbilstoši NACE klasifikācijai, ciktāl tas apliecina saistību ar lauksaimniecības produktu primāro ražošanu. Vienlaikus NACE kods pats par sevi nav uzskatāms par vienīgo kritēriju atbalsta pretendenta atbilstības noteikšanai. Izšķirošs ir atbalsta pretendenta faktiskās saimnieciskās darbības saturs, proti, vai attiecīgais subjekts faktiski veic lauksaimniecības produktu primāro ražošanu.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„Atbalsta piemērošana lauksaimniecības nozarei" papildināts skaidrojums, norādot, ka ar jēdzienu „saimnieciskās darbības veicējs, kas nodarbojas ar lauksaimniecības produktu primāro ražošanu" saprotams atbalsta pretendents, kurš neatkarīgi no juridiskās formas faktiski veic lauksaimniecības produktu primāro ražošanu Latvijas Republikas teritorijā. Šī kategorija var aptvert kapitālsabiedrības (SIA, AS), zemnieku saimniecības, individuālos uzņēmumus, fiziskās personas, kas reģistrētas kā saimnieciskās darbības veicēji, un citus subjektus. Atbilstības izvērtēšanā var ņemt vērā atbalsta pretendenta saimnieciskās darbības veidu atbilstoši NACE klasifikācijai, taču NACE kods pats par sevi nav uzskatāms par vienīgo kritēriju — izšķirošs ir atbalsta pretendenta faktiskās saimnieciskās darbības saturs.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noteikumu projekta ietekmes izvērtējumu uz datu aizsardzību un aizpildīt anotācijas 8.1.13. apakšpunktu, sniedzot skaidru un saprotamu informāciju par noteikumu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 Ietekmes novērtējuma veikšanā un anotācijas aizpildīšanā aicinām izmantot Valsts kancelejas 2021. gada vadlīnijas sākotnējās ietekmes novērtēšanai un novērtējuma ziņojuma sagatavošanai vienotajā tiesību aktu izstrādes un saskaņošanas portālā (54.-55.lpp.).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w:t>
            </w:r>
            <w:r w:rsidR="00000000" w:rsidRPr="00000000" w:rsidDel="00000000">
              <w:rPr>
                <w:rtl w:val="0"/>
              </w:rPr>
              <w:t xml:space="preserve"> </w:t>
            </w:r>
            <w:r w:rsidR="00000000" w:rsidRPr="00000000" w:rsidDel="00000000">
              <w:rPr>
                <w:rtl w:val="0"/>
              </w:rPr>
              <w:t xml:space="preserve">32.</w:t>
            </w:r>
            <w:r w:rsidR="00000000" w:rsidRPr="00000000" w:rsidDel="00000000">
              <w:rPr>
                <w:vertAlign w:val="superscript"/>
                <w:rtl w:val="0"/>
              </w:rPr>
              <w:t xml:space="preserve">13 </w:t>
            </w:r>
            <w:r w:rsidR="00000000" w:rsidRPr="00000000" w:rsidDel="00000000">
              <w:rPr>
                <w:rtl w:val="0"/>
              </w:rPr>
              <w:t xml:space="preserve">panta</w:t>
            </w:r>
            <w:r w:rsidR="00000000" w:rsidRPr="00000000" w:rsidDel="00000000">
              <w:rPr>
                <w:rtl w:val="0"/>
              </w:rPr>
              <w:t xml:space="preserve"> ceturto daļu un </w:t>
            </w:r>
            <w:r w:rsidR="00000000" w:rsidRPr="00000000" w:rsidDel="00000000">
              <w:rPr>
                <w:rtl w:val="0"/>
              </w:rPr>
              <w:t xml:space="preserve">Klimatnoturības un ekonomiskās ilgtspējas likuma 18. panta</w:t>
            </w:r>
            <w:r w:rsidR="00000000" w:rsidRPr="00000000" w:rsidDel="00000000">
              <w:rPr>
                <w:rtl w:val="0"/>
              </w:rPr>
              <w:t xml:space="preserve">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norādīts, ka precizēta noteikumu projekta izdošanas tiesiskā pamatojuma norāde, taču, izskatot precizēto noteikumu projektu, secināms, ka norāde nav labota, attiecīgi lūdzam atkārtoti pārskatīt, vai tiesību akta izdošanas pamatojumā būtu jāsvītro likuma "Par piesārņojumu" 32.</w:t>
            </w:r>
            <w:r w:rsidR="00000000" w:rsidRPr="00000000" w:rsidDel="00000000">
              <w:rPr>
                <w:vertAlign w:val="superscript"/>
                <w:rtl w:val="0"/>
              </w:rPr>
              <w:t xml:space="preserve">13</w:t>
            </w:r>
            <w:r w:rsidR="00000000" w:rsidRPr="00000000" w:rsidDel="00000000">
              <w:rPr>
                <w:rtl w:val="0"/>
              </w:rPr>
              <w:t xml:space="preserve"> pants, ievērojot, ka tas ir zaudējis spēku ar 12.12.2025.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atsauces saglabāšana uz likuma "Par piesārņojumu" deleģējumu noteikumu grozījumu projekta tiesiskajā pamatojumā ir veikta, balstoties uz konsultāciju ar Valsts kancelejas pārstāvjiem citu atbalsta programmu grozījumu izstrādes ietvaros. Atsauces saglabāšana ir nepieciešama, lai nodrošinātu tiesisko pēctecību, jo šis tiesību akts (MK noteikumi Nr. 701) ir pieņemts laikā, kad minētais likums vēl bija spēkā. Tā kā sagatavotais noteikumu grozījumu projekts paredz tikai atsevišķus grozījumus esošajos noteikumos, nevis pilnīgi jauna regulējuma izdošanu, noteikumu vēsturiskais un sākotnējais tiesiskais pamatojums netiek mainīts. Šo noteikumu juridisko spēku un nepārtrauktību pēc pamatlikuma spēka zaudēšanas uztur jaunā Klimatnoturības un ekonomiskās ilgtspējas likuma pārejas noteikumi. Tiesiskais pamatojums atsauces saglabāšanai uz likumu "Par piesārņojumu" izriet no Klimatnoturības un ekonomiskās ilgtspējas likuma pārejas noteikumu 13. punkta 10. apakšpunkta. Minētā norma skaidri nosaka, ka līdz 2035. gada 31. decembrim ir piemērojami Ministru kabineta 2024. gada 5. novembra noteikumi Nr. 701 "Modernizācijas fonda finansēto projektu atklāta konkursa "Energoefektivitātes paaugstināšana transporta sektorā — atbalsts elektromobiļu un to uzlādes infrastruktūras ieviešanai" nolikums", ciktāl tie nav pretrunā ar jauno likumu. Tā kā šī pārejas norma juridiski uztur minēto noteikumu spēku un nepārtrauktību, to tiesiskajā pamatojumā ir jāsaglabā sākotnējais deleģējums, uz kura pamata noteikumi savulaik tikuši izdoti.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Modernizācijas fonda finansēto projektu atklāta konkursa "Energoefektivitātes uzlabošana transporta sektorā – atbalsts elektromobiļu un to uzlādes infrastruktūras ieviešanai" (turpmāk – konkurss) nolikumu,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Modernizācijas fonda līdzekļu atgūšanas nosacījumus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nosaukumā norādītais konkursa nosaukums ir atšķirīgs no konkursa nosaukuma, kas norādīts noteikumu projekta 2.punktā, ar kuru tiek grozīts noteikumu 1.punkts, attiecīgi lūdzam izvērtēt un savstarpēji salāgot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 punkts precizēts, konkursa nosaukumā vārdu „uzlabošana" aizstājot ar vārdu „paaugstināšana", tādējādi salāgojot 1. punktā norādīto konkursa nosaukumu ar MK noteikumu projekta  nosaukumā lietoto konkursa nosaukumu „Energoefektivitātes paaugstināšana transporta sektorā – atbalsts elektromobiļu un to uzlādes infrastruktūras ieviešanai".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Modernizācijas fonda finansēto projektu atklāta konkursa "Energoefektivitātes paaugstināšana transporta sektorā – atbalsts elektromobiļu un to uzlādes infrastruktūras ieviešanai" (turpmāk – konkurss) nolikumu,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Modernizācijas fonda līdzekļu atgūšanas nosacījumus un kārtību.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Konkursa ietvaros finansējums projekta īstenošanai netiek piešķirts,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projektu nav nepieciešams papildināt, skaidri norādot, kurā brīdī attiecīgo nosacījumu izpilde tiek vērtēta, vai sniegt skaidrojumu, ja un kādēļ tas nav nepieciešams (salīdzinājumam lūdzam skatīt, piemēram, Ministru kabineta 2026. gada 21. aprīļa noteikumu Nr. 238 "Emisijas kvotu izsolīšanas instrumenta finansēto projektu atklāta konkursa "Atbalsts bezemisiju un mazemisiju transportlīdzekļu iegādei" nolikums" 16. un 18.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ar jaunu punktu, kas paredz šo nosacījumu ievērošanu visā projekta īstenošanas laikā.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Konkursa ietvaros finansējums projekta īstenošanai netiek piešķirts, 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precizēt projektā lietoto terminaloģiju, kas saistīta ar administratīvo pārkāpumu tiesību jomu (minētais attiecas arī uz citiem projekta noteikumu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vārdkopas "stājies spēkā un kļuvis neapstrīdams un nepārsūdzams" saglabāšanu. Norādām, ka lēmuma spēkā stāšanās fakts pats par sevi ietver to, ka lēmums vairs nav apstrīdams.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izvērtējamas vārdkopas "atzīts par vainīgu" lietojums kontekstā ar administratīvās atbildības regulējumu, ievērojot, ka administratīvo pārkāpumu tiesībās nepastāv tipiskā vainas izpratne kāda tā ir krimināltiesībās. Administratīvo pārkāpumu tiesībās tiek izmantots vainojamības koncepts.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attiecīgā norma ir precizēta, paredzot, ka konkursa ietvaros finansējums projekta īstenošanai netiek piešķirts, ja projekta iesniedzējs vai persona, kura ir projekta iesniedzēja valdes vai padomes loceklis vai prokūrists, vai persona, kura ir pilnvarota pārstāvēt projekta iesniedzēju, ir sodīta par tīšu noziedzīgu nodarījumu, ja sodāmība par to nav noņemta vai dzēsta.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ir sodīta par noziedzīgu nodarījumu, kas paredzēts </w:t>
            </w:r>
            <w:r w:rsidR="00000000" w:rsidRPr="00000000" w:rsidDel="00000000">
              <w:rPr>
                <w:rtl w:val="0"/>
              </w:rPr>
              <w:t xml:space="preserve">Krimināllikuma</w:t>
            </w:r>
            <w:r w:rsidR="00000000" w:rsidRPr="00000000" w:rsidDel="00000000">
              <w:rPr>
                <w:rtl w:val="0"/>
              </w:rPr>
              <w:t xml:space="preserve"> IX, IX¹, X, XIX, XXII vai XXIV nodaļā, vai par sevišķi smagu noziegumu, un sodāmība par to nav noņemta vai dzēsta. Šo nosacījumu piemēro arī attiecībā uz ārvalstī izdarītu noziedzīgu nodarījumu, kas atbilst kādam no minētajiem noziedzīgajiem nodarījumiem;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ar tādu prokurora priekšrakstu par sodu vai tiesas spriedumu, kas stājies spēkā un kļuvis neapstrīdams un nepārsūdzams, ir atzīta par vainīgu jebkurā no šādiem noziedzīgiem nodarījumiem: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11.2. apakšpunktā  izmantoto terminoloģiju, no tā dzēšot vārdus "neapstrīdams un". Proti, prokurora priekšraksta par sodu vai tiesas nolēmuma krimināllietā spēkā stāšanās atbilstoši Kriminālprocesa likuma 633.</w:t>
            </w:r>
            <w:r w:rsidR="00000000" w:rsidRPr="00000000" w:rsidDel="00000000">
              <w:rPr>
                <w:vertAlign w:val="superscript"/>
                <w:rtl w:val="0"/>
              </w:rPr>
              <w:t xml:space="preserve">1</w:t>
            </w:r>
            <w:r w:rsidR="00000000" w:rsidRPr="00000000" w:rsidDel="00000000">
              <w:rPr>
                <w:rtl w:val="0"/>
              </w:rPr>
              <w:t xml:space="preserve"> pantam un 632. pantam ir piesaistīta apstāklim, vai šie nolēmumi ir </w:t>
            </w:r>
            <w:r w:rsidR="00000000" w:rsidRPr="00000000" w:rsidDel="00000000">
              <w:rPr>
                <w:u w:val="single"/>
                <w:rtl w:val="0"/>
              </w:rPr>
              <w:t xml:space="preserve">pārsūdzēti</w:t>
            </w:r>
            <w:r w:rsidR="00000000" w:rsidRPr="00000000" w:rsidDel="00000000">
              <w:rPr>
                <w:rtl w:val="0"/>
              </w:rPr>
              <w:t xml:space="preserve">. Tādējādi apstrīdēšanas process uz tiem nav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attiecīgā norma ir precizēta, paredzot, ka konkursa ietvaros finansējums projekta īstenošanai netiek piešķirts, ja projekta iesniedzējs vai persona, kura ir projekta iesniedzēja valdes vai padomes loceklis vai prokūrists, vai persona, kura ir pilnvarota pārstāvēt projekta iesniedzēju, ir sodīta par tīšu noziedzīgu nodarījumu, ja sodāmība par to nav noņemta vai dzēsta.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projekta iesniedzējs, vai persona, kura ir projekta iesniedzēja valdes vai padomes loceklis vai prokūrists, vai persona, kura ir pilnvarota pārstāvēt projekta iesniedzēju, ir sodīta par noziedzīgu nodarījumu, kas paredzēts </w:t>
            </w:r>
            <w:r w:rsidR="00000000" w:rsidRPr="00000000" w:rsidDel="00000000">
              <w:rPr>
                <w:rtl w:val="0"/>
              </w:rPr>
              <w:t xml:space="preserve">Krimināllikuma</w:t>
            </w:r>
            <w:r w:rsidR="00000000" w:rsidRPr="00000000" w:rsidDel="00000000">
              <w:rPr>
                <w:rtl w:val="0"/>
              </w:rPr>
              <w:t xml:space="preserve"> IX, IX¹, X, XIX, XXII vai XXIV nodaļā, vai par sevišķi smagu noziegumu, un sodāmība par to nav noņemta vai dzēsta. Šo nosacījumu piemēro arī attiecībā uz ārvalstī izdarītu noziedzīgu nodarījumu, kas atbilst kādam no minētajiem noziedzīgajiem nodarījumiem;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11.2.1. kukuļņemšana, kukuļdošana, kukuļa piesavināšanās, neatļauta labumu pieņemšana, komerciāla uzpirkšana, neatļauta piedalīšanās mantiskos darījumos, prettiesiska labumu pieprasīšana, pieņemšana un došana vai tirgošanās ar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11.2.1. apakšpunktu, vārdu savienojumā "prettiesiska labumu pieprasīšana, pieņemšana un došana" vārdu "un" aizstājot ar vārdu "vai", ņemot vērā, ka tie ir dažādi (alternatīvi) noziedzīgi nodarījumi (noziedzīga nodarījuma tiesiskie sastāvi).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attiecīgā norma ir precizēta, paredzot, ka konkursa ietvaros finansējums projekta īstenošanai netiek piešķirts, ja projekta iesniedzējs vai persona, kura ir projekta iesniedzēja valdes vai padomes loceklis vai prokūrists, vai persona, kura ir pilnvarota pārstāvēt projekta iesniedzēju, ir sodīta par tīšu noziedzīgu nodarījumu, ja sodāmība par to nav noņemta vai dzēsta.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11.2.2. krāpšana, piesavināšanās vai noziedzīgi iegūtu līdzekļu legalizēšana;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11.2.2. apakšpunktu vai attiecīgo anotācijas sadaļu, norādot, vai "krāpšana" šīs normas izpratnē aptver tikai Krimināllikuma 177. pantā noteikto noziedzīgo nodarījumu, vai arī tās tvērums ir plašāks - proti, aptver arī krāpšanu automatizētā datu apstrādes sistēmā (Krimināllikuma  177.</w:t>
            </w:r>
            <w:r w:rsidR="00000000" w:rsidRPr="00000000" w:rsidDel="00000000">
              <w:rPr>
                <w:vertAlign w:val="superscript"/>
                <w:rtl w:val="0"/>
              </w:rPr>
              <w:t xml:space="preserve">1</w:t>
            </w:r>
            <w:r w:rsidR="00000000" w:rsidRPr="00000000" w:rsidDel="00000000">
              <w:rPr>
                <w:rtl w:val="0"/>
              </w:rPr>
              <w:t xml:space="preserve"> pants), apdrošināšanas krāpšanu (Krimināllikuma 178. pants), krāpšanu nelielā apmērā (Krimināllikuma 180.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attiecīgā norma ir precizēta, paredzot, ka konkursa ietvaros finansējums projekta īstenošanai netiek piešķirts, ja projekta iesniedzējs vai persona, kura ir projekta iesniedzēja valdes vai padomes loceklis vai prokūrists, vai persona, kura ir pilnvarota pārstāvēt projekta iesniedzēju, ir sodīta par tīšu noziedzīgu nodarījumu, ja sodāmība par to nav noņemta vai dzēsta.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11.2.4. terorisms, terorisma finansēšana, aicinājums uz terorismu, terorisma draudi vai personas vervēšana, apmācīšana un apmācīšanās terorismam;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11.2.4. apakšpunktā apzināti nav ietverti tādi Krimināllikuma IX</w:t>
            </w:r>
            <w:r w:rsidR="00000000" w:rsidRPr="00000000" w:rsidDel="00000000">
              <w:rPr>
                <w:vertAlign w:val="superscript"/>
                <w:rtl w:val="0"/>
              </w:rPr>
              <w:t xml:space="preserve">1</w:t>
            </w:r>
            <w:r w:rsidR="00000000" w:rsidRPr="00000000" w:rsidDel="00000000">
              <w:rPr>
                <w:rtl w:val="0"/>
              </w:rPr>
              <w:t xml:space="preserve"> nodaļas noziedzīgi nodarījumi kā teroristu grupas organizēšana vai iesaistīšanās šādā grupā, vai šādas grupas vadīšana (Krimināllikuma 79.</w:t>
            </w:r>
            <w:r w:rsidR="00000000" w:rsidRPr="00000000" w:rsidDel="00000000">
              <w:rPr>
                <w:vertAlign w:val="superscript"/>
                <w:rtl w:val="0"/>
              </w:rPr>
              <w:t xml:space="preserve">3</w:t>
            </w:r>
            <w:r w:rsidR="00000000" w:rsidRPr="00000000" w:rsidDel="00000000">
              <w:rPr>
                <w:rtl w:val="0"/>
              </w:rPr>
              <w:t xml:space="preserve"> pants) un ceļošana terorisma nolūkā (Krimināllikuma 79.</w:t>
            </w:r>
            <w:r w:rsidR="00000000" w:rsidRPr="00000000" w:rsidDel="00000000">
              <w:rPr>
                <w:vertAlign w:val="superscript"/>
                <w:rtl w:val="0"/>
              </w:rPr>
              <w:t xml:space="preserve">5</w:t>
            </w:r>
            <w:r w:rsidR="00000000" w:rsidRPr="00000000" w:rsidDel="00000000">
              <w:rPr>
                <w:rtl w:val="0"/>
              </w:rPr>
              <w:t xml:space="preserve"> pants). Kontekstā ar 11.2.4. apakšpunktu aicinām ņemt vērā, ka Krimināllikuma 89.</w:t>
            </w:r>
            <w:r w:rsidR="00000000" w:rsidRPr="00000000" w:rsidDel="00000000">
              <w:rPr>
                <w:vertAlign w:val="superscript"/>
                <w:rtl w:val="0"/>
              </w:rPr>
              <w:t xml:space="preserve">1</w:t>
            </w:r>
            <w:r w:rsidR="00000000" w:rsidRPr="00000000" w:rsidDel="00000000">
              <w:rPr>
                <w:rtl w:val="0"/>
              </w:rPr>
              <w:t xml:space="preserve"> pantā ir noteikta atbildība par noziedzīgas organizācijas izveidošanu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attiecīgā norma ir precizēta, paredzot, ka konkursa ietvaros finansējums projekta īstenošanai netiek piešķirts, ja projekta iesniedzējs vai persona, kura ir projekta iesniedzēja valdes vai padomes loceklis vai prokūrists, vai persona, kura ir pilnvarota pārstāvēt projekta iesniedzēju, ir sodīta par tīšu noziedzīgu nodarījumu, ja sodāmība par to nav noņemta vai dzēsta.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11.2.5. vienas vai vairāku personu nodarbināšana, ja tām nav nepieciešamās darba atļaujas vai ja tās nav tiesīgas uzturēties Eiropas Savienības dalībvalstī;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11.2.5. apakšpunktā apzināti ir sašaurināts Krimināllikuma 280. pantā noteiktā noziedzīgā nodarījuma (personas nodarbināšanas noteikumu pārkāpšana) tvērums. Proti, Krimināllikumā 280. pantā ir noteikts tāds noziedzīgs nodarījums kā personas nodarbināšanas noteikumu pārkāpšana. Savukārt 11.2.5. apakšpunktā patlaban ir minētā rīcība jeb tikai viens no veidiem, kā šis noziedzīgais nodarījums var tikt īstenots. Tādējādi atbilstoši juridiskajai tehnikai aicinām attiecīgo apakšpunktu izteikt šādā redakcijā: </w:t>
            </w:r>
            <w:r w:rsidR="00000000" w:rsidRPr="00000000" w:rsidDel="00000000">
              <w:rPr>
                <w:i w:val="1"/>
                <w:rtl w:val="0"/>
              </w:rPr>
              <w:t xml:space="preserve">Personas nodarbināšanas noteikumu pārkāpšana, kas izpaudusies kā vienas vai vairāku personu nodarbināšana, ja tām nav nepieciešamās darba atļaujas vai ja tās nav tiesīgas uzturēties Eiropas Savienības dalībvalstī.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attiecīgā norma ir precizēta, paredzot, ka konkursa ietvaros finansējums projekta īstenošanai netiek piešķirts, ja projekta iesniedzējs vai persona, kura ir projekta iesniedzēja valdes vai padomes loceklis vai prokūrists, vai persona, kura ir pilnvarota pārstāvēt projekta iesniedzēju, ir sodīta par tīšu noziedzīgu nodarījumu, ja sodāmība par to nav noņemta vai dzēsta.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projekta iesniedzējam vai atbalsta saņēmējam ir pasludināts maksātnespējas process, ierosināta tiesiskās aizsardzības procesa lieta vai tiek īstenots tiesiskās aizsardzības process, apturēta vai pārtraukta projekta iesniedzēja saimnieciskā darbība vai projekta iesniedzējs tiek likvidēts;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precizēt vai skaidrot, kāpēc saimnieciskās darbības apturēšana, pārtraukšana vai likvidācija tiek attiecināta tikai uz projekta iesniedzēju, ja maksātnespējas pasludināšana un tiesiskās aizsardzības procesa lieta tiek attiecināts uz abiem (gan iesniedzēju, gan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attiecīgais noteikumu projekta punkts. Šī konkursa ietvaros projekta iesniedzējs ir arī faktiskais atbalsta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projekta iesniedzējam ir pasludināts maksātnespējas process, ierosināta tiesiskās aizsardzības procesa lieta vai tiek īstenots tiesiskās aizsardzības process, apturēta vai pārtraukta projekta iesniedzēja saimnieciskā darbība vai projekta iesniedzējs tiek likvidēts.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Lai pārbaudītu, vai projekta iesniedzējs vai atbalsta saņēmējs nav atzīts par vainīgu kādā no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minētajiem noziedzīgajiem nodarījumiem un </w:t>
            </w:r>
            <w:r w:rsidR="00000000" w:rsidRPr="00000000" w:rsidDel="00000000">
              <w:rPr>
                <w:rtl w:val="0"/>
              </w:rPr>
              <w:t xml:space="preserve">11.2.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minētajiem administratīvajiem pārkāpumiem, Vides investīciju fonds informāciju iegūst no Iekšlietu ministrijas Informācijas centra pārziņā esošās valsts informācijas sistēmas "Sodu reģistrs".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un, ja nepieciešams precizēt noteikumu projektu kopumā, norādot, kādus tieši datus plānots saņemt no valsts informācijas sistēmas "Sodu reģistrs", piemēram, vai tiek plānots saņemt apstiprinājumu, ka persona ir vai nav sodīta, vai tomēr tiek plānots saņemt plašāku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Lai pārbaudītu, vai uz projekta iesniedzēju vai personu, kura ir projekta iesniedzēja valdes vai padomes loceklis vai prokūrists, vai personu, kura ir pilnvarota pārstāvēt projekta iesniedzēju, nav attiecināms 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minētais nosacījums, Vides investīciju fonds informāciju iegūst no Iekšlietu digitālā centra pārziņā esošās valsts informācijas sistēmas "Sodu reģistrs" un Eiropas Sodāmības reģistru informācijas sistēmas.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Projektu iesniegumu pieņemšana konkursa trešās kārtas ietvaros pēc tās izsludināšanas notiek nepārtraukti, bet ne ilgāk kā piecus gadus pēc konkursa pirmās kārtas izsludināšanas dienas, vai līdz brīdim, kad beidzas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noteikumu projekta 64.</w:t>
            </w:r>
            <w:r w:rsidR="00000000" w:rsidRPr="00000000" w:rsidDel="00000000">
              <w:rPr>
                <w:vertAlign w:val="superscript"/>
                <w:rtl w:val="0"/>
              </w:rPr>
              <w:t xml:space="preserve">1 </w:t>
            </w:r>
            <w:r w:rsidR="00000000" w:rsidRPr="00000000" w:rsidDel="00000000">
              <w:rPr>
                <w:rtl w:val="0"/>
              </w:rPr>
              <w:t xml:space="preserve">punktu nav nepieciešams precizēt (norādi "ne ilgāk kā piecus gadus"), ņemot vērā 51. punktu (proti, to, ka piecu gadu periods beigsies krietni vēlāk nekā 2029. gada 31. decembrī). Papildus lūdzam izvērtēt un precizēt noteikumu projektu vai skaidrot, vai nav nepieciešams paredzēt, līdz kādam datumam īsteno projektā paredzētās 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izvērtēts. Skaidrojam, ka ne visos gadījumos atbalsts piešķirams saskaņā ar regulu Nr. 2023/2831, t.i., konkursa ietvaros var tikt īstenoti arī tādi projekti, kuriem sniegtais atbalsts nav kvalificējams kā komercdarbības atbalsts. Projektā paredzētās aktivitātes īsteno astoņu mēnešu laikā no projekta līguma spēkā stāšanās dienas - noteikumu projekta 3.2.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Projektu iesniegumu pieņemšana konkursa trešās kārtas ietvaros pēc tās izsludināšanas notiek nepārtraukti, bet ne ilgāk kā piecus gadus pēc konkursa pirmās kārtas izsludināšanas dienas, vai līdz brīdim, kad beidzas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minētais finansējums.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Vides investīciju fonds un projekta iesniedzējs projekta līgumu noslēdz normatīvajos aktos par Modernizācijas fonda darbības kārtību un daudzgadu darbības programmu minētajā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2009. gada 3. februāra noteikumu Nr.108 "Normatīvo aktu projektu sagatavošanas noteikumi" 136. punktu noteikumu projektā neietver atsau­ces uz zemāka juridiskā spēka normatīvo aktu vai normatīvo aktu, </w:t>
            </w:r>
            <w:r w:rsidR="00000000" w:rsidRPr="00000000" w:rsidDel="00000000">
              <w:rPr>
                <w:u w:val="single"/>
                <w:rtl w:val="0"/>
              </w:rPr>
              <w:t xml:space="preserve">kas vēl nav stājies spēkā</w:t>
            </w:r>
            <w:r w:rsidR="00000000" w:rsidRPr="00000000" w:rsidDel="00000000">
              <w:rPr>
                <w:rtl w:val="0"/>
              </w:rPr>
              <w:t xml:space="preserve">. Atsauce var norādīt uz normatīvo aktu, kas vēl nav stājies spēkā, </w:t>
            </w:r>
            <w:r w:rsidR="00000000" w:rsidRPr="00000000" w:rsidDel="00000000">
              <w:rPr>
                <w:u w:val="single"/>
                <w:rtl w:val="0"/>
              </w:rPr>
              <w:t xml:space="preserve">ja tas stāsies spēkā pirms noteikumu projekta stāšanās spēkā vai vienlaikus ar to</w:t>
            </w:r>
            <w:r w:rsidR="00000000" w:rsidRPr="00000000" w:rsidDel="00000000">
              <w:rPr>
                <w:rtl w:val="0"/>
              </w:rPr>
              <w:t xml:space="preserve">. Attiecīgi aicinām izvērtēt un sniegt skaidrojumu, vai atsauce ir atbilstoša minētajam. Ja nepieciešams, aicinām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Ministru kabineta noteikumu projekts "Modernizācijas fonda darbības kārtības noteikumi un daudzgadu darbības programma" ir iesniegts Valsts kancelejā š.g. 7. jūlijā. Ņemot vērā iepriekš minēto, paredzams, ka attiecīgais noteikumu projekts stāsies spēkā pirms šī noteikumu projekta.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Vides investīciju fonds un projekta iesniedzējs projekta līgumu noslēdz normatīvajos aktos par Modernizācijas fonda darbības kārtību un daudzgadu darbības programmu minētajā termiņā.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16.03.2026. 11:23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5. novembra noteikumos Nr. 701 "Modernizācijas fonda finansēto projektu atklāta konkursa "Energoefektivitātes paaugstināšana transporta sektorā – atbalsts elektromobiļu un to uzlādes infrastruktūras ieviešanai"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(Sabiedrība ar ierobežotu atbildību "Fuzzy Systems" - 19.03.2026.)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pārskatīt noteikumu projekta 28.2.2. apakšpunktā paredzēto prasību, ka konkursa trešās kārtas ietvaros komersanta īpašumā vai turējumā ne mazāk kā vienu gadu jābūt vismaz diviem M1, M2, N1 vai N2 kategorijas transportlīdzekļiem. Šāds kritērijs ir nesamērīgs un neatbilst atbalsta programmas mērķim veicināt bezemisiju transportlīdzekļu ieviešanu pēc iespējas plašākā uzņēmumu lokā. Prasība par vismaz diviem transportlīdzekļiem nepamatoti izslēdz mikrouzņēmumus un mazos komersantus, kuri pāreju uz elektromobilitāti bieži sāk ar pirmā transportlīdzekļa nomaiņu. Līdz ar to tiek samazināts potenciālo atbalsta saņēmēju loks, kavēta finansējuma apguve un mazināts programmas kopējais ieguldījums transporta nozares dekarbonizācijā.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noteikt, ka konkursa trešās kārtas ietvaros atbalstam var pieteikties arī komersants, kura īpašumā vai turējumā ne mazāk kā vienu gadu ir vismaz viens attiecīgās kategorijas transportlīdzeklis.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28.2.2.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“28.2.2. viens M1, M2, N1 vai N2 kategorijas transportlīdzeklis, kuram uz projekta iesnieguma iesniegšanas brīdi ir derīga pielaide ceļu satiksmei, – konkursa trešās kārtas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28.2.2. apakšpunktā noteiktā prasība paredzēta, lai nodrošinātu, ka atbalsts tiek piešķirts komersantiem, kuri veic saimniecisko darbību, un saimnieciskās darbības ietvaros jau tiek izmantoti transportlīdzekļi, un kuriem elektromobiļu iegāde veicinās esošā autotransporta parka dekarbonizāciju.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projekts jau paredz ievērojamu prasību atvieglošanu, samazinot minimālo nepieciešamo transportlīdzekļu skaitu autoparkā no pieciem fosilos energoresursus izmantojošiem transportlīdzekļiem uz diviem fosilos vai atjaunīgos energoresursus izmantojošiem transportlīdzekļiem. Šāds risinājums ir piemērots, lai programma būtu pieejamāka plašākam komersantu lokam, tostarp mazajiem un mikro uzņēmumiem, vienlaikus ierobežota finansējuma apstākļos prioritizējot projektus, kuriem ir skaidri pierādāma ietekme uz autoparka atjaunošanu un ekonomisko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mērķis ir siltumnīcefekta gāzu (SEG) emisiju samazināšana un enerģijas ietaupījums transporta sektorā. Prasība pēc komersanta īpašumā vai turējumā esoša autoparka nodrošina to, ka atbalsts tiek novirzīts komersantiem ar esošām transporta vajadzībām, tādējādi veicinot fosilo degvielu iekšdedzes dzinēju aizstāšanu ar bezemisiju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5. novembra noteikumos Nr. 701 "Modernizācijas fonda finansēto projektu atklāta konkursa "Energoefektivitātes paaugstināšana transporta sektorā – atbalsts elektromobiļu un to uzlādes infrastruktūras ieviešanai"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- 02.04.2026.)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ministrija ir līdzatbildīga NEKP pasākumu mērķu sasniegšanā saistībā autotransporta zaļināšanu, Satiksmes ministrija konceptuāli iebilst pret noteikumu projektu esošajā redakcijā, jo atbalsts nav mērķēts uz transportlīdzekļiem ar lielāko nobraukumu gadā jeb lielākajiem piesārņotājiem. Satiksmes ministrijas ieskatā, atbalstam prioritāri ir jābūt mērķētam uz komerctransportu, pirmkārt, uz taksometriem ar nobraukumu vismaz 25 000 km/ gadā. Otrkārt, jāpalielina atbalsts uz lielas noslodzes transportlīdzekļiem, ieskaitot N3 kategoriju.  2026. gada sākumā Latvijā reģistrēti aptuveni 32 tūkstoši N2 un N3 kategorijas transportlīdzekļu ar dīzeļa dzinēju. Šie transportlīdzekļi veido būtisku daļu no transporta sektora emisijām, jo tiem raksturīgs augsts ekspluatācijas intensitātes līmenis un liels gada nobraukums ~80 tūkst.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Satiksmes ministrija uztur iepriekš izteikto viedokli, ka ir nepieciešama atsevišķa atbalsta programma velosipēdiem, t.sk. kravas un saistītajai infrastruktūrai.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tiek ieviesta diferencēta nobraukuma prasība konkursa trešās kārtas ietvaros. MK noteikumu 32.2. apakšpunkts precizēts, nosakot, ka pašvaldībām un tiešās pārvaldes iestādēm (9.1. un 9.2. apakšpunktā minētajiem projektu iesniedzējiem) jānodrošina vismaz 41 600 km nobraukums, savukārt komersantiem un lauksaimniecības nozares saņēmējiem (9.3., 9.4., 9.5. un 9.6. apakšpunktā minētajiem projektu iesniedzējiem) – vismaz 80 000 km nobraukums konkursa trešās kārtas ietvaros iegādātajam elektromobilim. Šāds risinājums nodrošina, ka atbalsts komersantiem ir mērķēts uz intensīvākas ekspluatācijas transportlīdzekļiem ar augstāku ikgadējo nobraukumu, atbilstoši SAM norādītajam mērķim prioritizēt lielākos piesārņotājus.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palielināt atbalstu lielas noslodzes transportlīdzekļiem, tostarp N3 kategorijai, un atsevišķu programmu velosipēdiem, informējam, ka MK noteikumu projektā ietvertās atbalstāmās aktivitātes, to nosacījumi, pieejamais finansējums katrai aktivitātei un kopējais finansējuma apjoms ir savstarpēji saskaņotas ar ministrijas sagatavoto un Eiropas Investīciju bankā iesniegto un apstiprināto investīciju priekšlikumu „Energoefektivitātes paaugstināšana transporta sektorā – atbalsts elektromobiļu un to uzlādes infrastruktūras ieviešanai" (Energy efficiency in transport – support for introduction of electric vehicles and corresponding charging infrastructure). Minētajā investīciju priekšlikumā ir skaidri noteikts atbalsta apjoms katrai aktivitātei un precīzi valsts atbalsta sniegšanas nosacījumi konkursa ietvaros, uz kuru pamata Latvija ir saņēmusi finansējumu šī konkursa īstenošanai. N3 kategorijas transportlīdzekļu iekļaušana mainītu saskaņotā investīciju priekšlikuma tvērumu, savukārt velosipēdu un kravas velosipēdu atbalsts pārsniedz šīs programmas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2024. gada 5. novembra noteikumos Nr. 701 "Modernizācijas fonda finansēto projektu atklāta konkursa "Energoefektivitātes paaugstināšana transporta sektorā – atbalsts elektromobiļu un to uzlādes infrastruktūras ieviešanai" nolikums" (Latvijas Vēstnesis, 2024, 218.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esošo 3. punkta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M2 kategoriju transportlīdzekļiem piegādes termiņš ir 6-8 mēneši, tādēļ pastāv risks, ka 6 mēnešu laikā līguma izpilde objektīvu apstākļu dēļ var nebūt nodrošināma.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pagarināt konkursa trešās kārtas projekta īstenošanas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veikti grozījumi, lai vienkāršotu projektu iesnieguma sagatavošanas, iesniegšanas un apstiprināšanas kārtību un nosacījumus, kā arī pagarināts konkursa trešās kārtas projektu īstenošanas periods no 6 uz 8 mēnešiem (MK noteikumu 3.2. apakšpunkts). Konkursa trešajā kārtā projektu iesniegumi tiks pieņemti „rindas kārtībā", un projekta iesniedzējs projektu var iesniegt jebkurā laikā līdz 2029. gada 31. decembrim vai līdz beidzies konkursā paredzētais finansējums. Šāda pieeja sniedz projekta iesniedzējiem, tajā skaitā pašvaldībām, iespēju iesniegt projektu iesniegumu pēc iepirkuma procedūras noslēgšanās, kad skaidri zināms piegādātājs un piegādes termiņš, tādējādi iekļaujoties 8 mēnešu projekta īstenošanas termiņā. Tajā pašā laikā tiek pieļauts, ka SIA „Vides investīciju fonds" un finansējuma saņēmējs var pagarināt projekta īstenošanas termiņu pusēm vienojoties. Šāda pieeja ļauj precīzi plānot investīcijas un nodrošina, ka finansējums tiek „rezervēts" projektu iesniedzējiem, kas atbilst konkursa prasībām, vienlaikus to „neiesaldējot" uz ilgu termiņu gadījumā, ja projekta īstenotājs apstiprināto projektu nolemj neīstenot. Tādējādi tiek garantēta efektīva Modernizācijas fonda līdzekļu apguve un novērsta administratīvā kavēšanās.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2024. gada 5. novembra noteikumos Nr. 701 "Modernizācijas fonda finansēto projektu atklāta konkursa "Energoefektivitātes paaugstināšana transporta sektorā – atbalsts elektromobiļu un to uzlādes infrastruktūras ieviešanai" nolikums" (Latvijas Vēstnesis, 2024, 218.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jauna M2 kategorijas iegādes vērtību (200 000 – 260 000 EUR), maksimālais pieejamais Modernizācijas fonda finansējums (līdz 15 000 EUR) neveicina interesi piedalīties konkursā.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Grozījumu projektā iekļaut papildu punktu, kas paredzētu Modernizācijas fonda finansējuma palielinājumu vienam M2 kategorijas elektromobilim. Vienlaikus aicinām palielināt atbalsta apmēru arī M1 kategorijas elektromobilim.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MK noteikumu projekts nav normatīvais regulējums, kas pašvaldībām vai komersantiem uzliek jaunus, papildu pienākumus. Tā ir valsts sniegtā iespēja saņemt finanšu atbalstu granta veidā, lai veicinātu pāreju uz ilgtspējīgākiem transporta risinājumiem. Granta primārais mērķis ir mazināt sākotnējo investīciju starpību starp bezemisiju transportlīdzekli un līdzvērtīgu iekšdedzes dzinēja automobili, tādējādi motivējot pircēju izvēlēties videi draudzīgāku alternatīvu. Noteiktais atbalsta apjoms ir pamatots ar citu Eiropas Savienības dalībvalstu pieredzi un iniciatīvām bezemisiju transportlīdzekļu iegādei, kur atbalsta intensitāte (M1 katergorija) vidēji svārstās no 3000 līdz 6000 EUR, nodrošinot optimālu līdzsvaru starp atbalsta intensitāti un pieejamā finansējuma tvērumu. Vienlaikus jāņem vērā, ka publiskajos iepirkumos jau šobrīd noteiktai daļai transportlīdzekļu jābūt “tīriem”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MK noteikumu projektā ietvertās atbalstāmās aktivitātes, to nosacījumi, pieejamais finansējums katrai aktivitātei un kopējais finansējuma apjoms ir savstarpēji saskaņotas ar ministrijas sagatavoto un Eiropas Investīciju bankā iesniegto un apstiprināto investīciju priekšlikumu “Energoefektivitātes paaugstināšana transporta sektorā – atbalsts elektromobiļu un to uzlādes infrastruktūras ieviešanai“ (</w:t>
            </w:r>
            <w:r w:rsidR="00000000" w:rsidRPr="00000000" w:rsidDel="00000000">
              <w:rPr>
                <w:i w:val="1"/>
                <w:rtl w:val="0"/>
              </w:rPr>
              <w:t xml:space="preserve">Energy efficiency in transport – support for introduction of electric vehicles and corresponding charging </w:t>
            </w:r>
            <w:r w:rsidR="00000000" w:rsidRPr="00000000" w:rsidDel="00000000">
              <w:rPr>
                <w:i w:val="1"/>
                <w:rtl w:val="0"/>
              </w:rPr>
              <w:t xml:space="preserve">infrastructur</w:t>
            </w:r>
            <w:r w:rsidR="00000000" w:rsidRPr="00000000" w:rsidDel="00000000">
              <w:rPr>
                <w:rtl w:val="0"/>
              </w:rPr>
              <w:t xml:space="preserve">e). Minētajā investīciju priekšlikumā ir skaidri noteikts atbalsta apjoms katrai aktivitātei un precīzi valsts atbalsta sniegšanas nosacījumi konkursa ietvaros, uz kuru pamata Latvija ir saņēmusi finansējumu šī konkursa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2024. gada 5. novembra noteikumos Nr. 701 "Modernizācijas fonda finansēto projektu atklāta konkursa "Energoefektivitātes paaugstināšana transporta sektorā – atbalsts elektromobiļu un to uzlādes infrastruktūras ieviešanai" nolikums" (Latvijas Vēstnesis, 2024, 218.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- 27.03.2026.)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Ministru kabineta 2024. gada 5. novembra noteikumu Nr. 701 “Modernizācijas fonda finansēto projektu atklāta konkursa “Energoefektivitātes paaugstināšana transporta sektorā – atbalsts elektromobiļu un to uzlādes infrastruktūras ieviešana” nolikums” 30. punktā noteiktās atbalsta intensitātes un augstajām elektromobiļu iegādes izmaksām investīcija nav pietiekami pamatota, jo projekta īstenotājam ir jāuzņemas būtisks pašu finansējuma slogs un ar investīcijas īstenošanas saistītie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interesi un pietiekamu konkurenci konkursā, rosinām Grozījumu projektā iekļaut papildu punktu, kas paredzētu atbalsta intensitātes palielināšanu, salāgojot ar faktiskajām investīciju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MK noteikumu projekts nav normatīvais regulējums, kas pašvaldībām vai komersantiem uzliek jaunus, papildu pienākumus. Tā ir valsts radīta iespēja saņemt finanšu atbalstu granta veidā, lai veicinātu pāreju uz ilgtspējīgākiem transporta risinājumiem. Granta primārais mērķis ir mazināt sākotnējo investīciju starpību starp bezemisiju transportlīdzekli un līdzvērtīgu iekšdedzes dzinēja automobili, tādējādi motivējot pircēju izvēlēties videi draudzīgāku alternatīvu. Vienlaikus jāņem vērā, ka publiskajos iepirkumos jau šobrīd noteiktai daļai transportlīdzekļu jābūt “tīriem” transportlīdzekļiem. Noteiktais atbalsta apjoms ir pamatots ar citu Eiropas Savienības dalībvalstu pieredzi un iniciatīvām bezemisiju transportlīdzekļu iegādei, kur atbalsta intensitāte vidēji svārstās no 3000 līdz 6000 EUR, nodrošinot optimālu līdzsvaru starp atbalsta intensitāti un pieejamā finansējuma tvērumu. Vienlaikus vēršam uzmanību, ka MK noteikumu projektā noteiktais finansējuma apjoms un atbalsta nosacījumi ir cieši saskaņoti ar ministrijas sagatavoto un Eiropas Investīciju bankā (EIB) apstiprināto investīciju priekšlikumu “Energoefektivitātes paaugstināšana transporta sektorā – atbalsts elektromobiļu un to uzlādes infrastruktūras ieviešanai“ (</w:t>
            </w:r>
            <w:r w:rsidR="00000000" w:rsidRPr="00000000" w:rsidDel="00000000">
              <w:rPr>
                <w:i w:val="1"/>
                <w:rtl w:val="0"/>
              </w:rPr>
              <w:t xml:space="preserve">Energy efficiency in transport – support for introduction of electric vehicles and corresponding charging infrastructure</w:t>
            </w:r>
            <w:r w:rsidR="00000000" w:rsidRPr="00000000" w:rsidDel="00000000">
              <w:rPr>
                <w:rtl w:val="0"/>
              </w:rPr>
              <w:t xml:space="preserve">). Tādējādi investīciju priekšlikumā un līdz ar to arī MK noteikumu projektā ietvertie nosacījumi un kritēriji ir priekšnoteikums, lai nodrošinātu pieejamā finansējuma pamatotu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5.sadaļu ar informāciju, ka Klimata un enerģētikas ministrija 20 darba dienu laikā pēc grozījumu, kas izriet no Komisijas regulas Nr.651/2014 nosacījumiem, spēkā stāšanās, nosūtīs kopsavilkuma informāciju Eiropas Komisijai, izmantojot SANI 2 sistēmu, par plānotajām izmaiņām (t.sk., termiņa pagarinājumu, jo šobrīd Eiropas Komisijai lieta SA.118933 ir paziņota līdz 31.12.2025). Papildus skaidrojam, ka programmā attiecībā uz atbalstu, kas  piešķirts saskaņā ar Komisijas regulas Nr.651/2014 nosacījumiem, kopš 31.12.2025. ir iestājies programmas pārrāvums un atbalstu programmas ietvaros no 01.01.2026. līdz šo grozījumu spēkā stāšanās sniegt nevar.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un anotācijas 5. sadaļa papildināta ar prasīto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"Energoefektivitātes paaugstināšana transporta sektorā – atbalsts elektromobiļu un to uzlādes infrastruktūras ieviešanai"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jauna M2 kategorijas iegādes vērtību (200 000 – 260 000 EUR), maksimālais pieejamais Modernizācijas fonda finansējums (līdz 15 000 EUR) neveicina interesi piedalīties konkursā.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b w:val="1"/>
                <w:rtl w:val="0"/>
              </w:rPr>
              <w:t xml:space="preserve">rosinām noteikumu projektā iekļaut papildu punktu, kas paredzētu Modernizācijas fonda finansējuma palielinājumu vienam M2 kategorijas elektromobilim. Vienlaikus aicinām palielināt atbalsta apmēru arī M1 kategorijas elektromobilim.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MK noteikumu projekts nav normatīvais regulējums, kas pašvaldībām vai komersantiem uzliek jaunus, papildu pienākumus. Tā ir valsts sniegtā iespēja saņemt finanšu atbalstu granta veidā, lai veicinātu pāreju uz ilgtspējīgākiem transporta risinājumiem. Granta primārais mērķis ir mazināt sākotnējo investīciju starpību starp bezemisiju transportlīdzekli un līdzvērtīgu iekšdedzes dzinēja automobili, tādējādi motivējot pircēju izvēlēties videi draudzīgāku alternatīvu. Noteiktais atbalsta apjoms ir pamatots ar citu Eiropas Savienības dalībvalstu pieredzi un iniciatīvām bezemisiju transportlīdzekļu iegādei, kur atbalsta intensitāte (M1 katergorija) vidēji svārstās no 3000 līdz 6000 EUR, nodrošinot optimālu līdzsvaru starp atbalsta intensitāti un pieejamā finansējuma tvērumu. Vienlaikus jāņem vērā, ka publiskajos iepirkumos jau šobrīd noteiktai daļai transportlīdzekļu jābūt “tīriem”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MK noteikumu projektā ietvertās atbalstāmās aktivitātes, to nosacījumi, pieejamais finansējums katrai aktivitātei un kopējais finansējuma apjoms ir savstarpēji saskaņotas ar ministrijas sagatavoto un Eiropas Investīciju bankā iesniegto un apstiprināto investīciju priekšlikumu “Energoefektivitātes paaugstināšana transporta sektorā – atbalsts elektromobiļu un to uzlādes infrastruktūras ieviešanai“ (</w:t>
            </w:r>
            <w:r w:rsidR="00000000" w:rsidRPr="00000000" w:rsidDel="00000000">
              <w:rPr>
                <w:i w:val="1"/>
                <w:rtl w:val="0"/>
              </w:rPr>
              <w:t xml:space="preserve">Energy efficiency in transport – support for introduction of electric vehicles and corresponding charging infrastructure</w:t>
            </w:r>
            <w:r w:rsidR="00000000" w:rsidRPr="00000000" w:rsidDel="00000000">
              <w:rPr>
                <w:rtl w:val="0"/>
              </w:rPr>
              <w:t xml:space="preserve">). Minētajā investīciju priekšlikumā ir skaidri noteikts atbalsta apjoms katrai aktivitātei un precīzi valsts atbalsta sniegšanas nosacījumi konkursa ietvaros, uz kuru pamata Latvija ir saņēmusi finansējumu šī konkursa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"Energoefektivitātes paaugstināšana transporta sektorā – atbalsts elektromobiļu un to uzlādes infrastruktūras ieviešanai"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Ministru kabineta 2024. gada 5. novembra noteikumu Nr. 701 “Modernizācijas fonda finansēto projektu atklāta konkursa “Energoefektivitātes paaugstināšana transporta sektorā – atbalsts elektromobiļu un to uzlādes infrastruktūras ieviešana” nolikums” 30. punktā noteiktās atbalsta intensitātes un augstajām elektromobiļu iegādes izmaksām investīcija nav pietiekami pamatota, jo projekta īstenotājam ir jāuzņemas būtisks pašu finansējuma slogs un ar investīcijas īstenošanas saistītie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interesi un pietiekamu konkurenci konkursā, </w:t>
            </w:r>
            <w:r w:rsidR="00000000" w:rsidRPr="00000000" w:rsidDel="00000000">
              <w:rPr>
                <w:b w:val="1"/>
                <w:rtl w:val="0"/>
              </w:rPr>
              <w:t xml:space="preserve">rosinām noteikumu projektā iekļaut papildu punktu, kas paredzētu atbalsta intensitātes palielināšanu, salāgojot ar faktiskajām investīciju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MK noteikumu projekts nav normatīvais regulējums, kas pašvaldībām vai komersantiem uzliek jaunus, papildu pienākumus. Tā ir valsts sniegtā iespēja saņemt finanšu atbalstu granta veidā, lai veicinātu pāreju uz ilgtspējīgākiem transporta risinājumiem. Granta primārais mērķis ir mazināt sākotnējo investīciju starpību starp bezemisiju transportlīdzekli un līdzvērtīgu iekšdedzes dzinēja automobili, tādējādi motivējot pircēju izvēlēties videi draudzīgāku alternatīvu. Noteiktais atbalsta apjoms ir pamatots ar citu Eiropas Savienības dalībvalstu pieredzi un iniciatīvām bezemisiju transportlīdzekļu iegādei, kur atbalsta intensitāte (M1 katergorija) vidēji svārstās no 3000 līdz 6000 EUR, nodrošinot optimālu līdzsvaru starp atbalsta intensitāti un pieejamā finansējuma tvērumu. Vienlaikus jāņem vērā, ka publiskajos iepirkumos jau šobrīd noteiktai daļai transportlīdzekļu jābūt “tīriem”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MK noteikumu projektā ietvertās atbalstāmās aktivitātes, to nosacījumi, pieejamais finansējums katrai aktivitātei un kopējais finansējuma apjoms ir savstarpēji saskaņotas ar ministrijas sagatavoto un Eiropas Investīciju bankā iesniegto un apstiprināto investīciju priekšlikumu “Energoefektivitātes paaugstināšana transporta sektorā – atbalsts elektromobiļu un to uzlādes infrastruktūras ieviešanai“ (</w:t>
            </w:r>
            <w:r w:rsidR="00000000" w:rsidRPr="00000000" w:rsidDel="00000000">
              <w:rPr>
                <w:i w:val="1"/>
                <w:rtl w:val="0"/>
              </w:rPr>
              <w:t xml:space="preserve">Energy efficiency in transport – support for introduction of electric vehicles and corresponding charging infrastructure</w:t>
            </w:r>
            <w:r w:rsidR="00000000" w:rsidRPr="00000000" w:rsidDel="00000000">
              <w:rPr>
                <w:rtl w:val="0"/>
              </w:rPr>
              <w:t xml:space="preserve">). Minētajā investīciju priekšlikumā ir skaidri noteikts atbalsta apjoms katrai aktivitātei un precīzi valsts atbalsta sniegšanas nosacījumi konkursa ietvaros, uz kuru pamata Latvija ir saņēmusi finansējumu šī konkursa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"Energoefektivitātes paaugstināšana transporta sektorā – atbalsts elektromobiļu un to uzlādes infrastruktūras ieviešanai"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(ZSA - 02.06.2026.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Vēršamies ar aicinājumu izvērtēt un paplašināt atbalsta programmu nosacījumus, paredzot iespēju lauksaimniekiem iegādāties elektrotransportlīdzekļus, tostarp vieglos un komerctransportlīdzekļus, ar valsts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elektroauto atbalsta instrumenti galvenokārt ir pieejami privātpersonām vai noteiktām uzņēmējdarbības formām, savukārt lauksaimniecības nozare – kas ir viena no būtiskākajām Latvijas tautsaimniecības nozarēm un vienlaikus arī energoietilpīga – lielā mērā paliek ārpus šīm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elektrotransporta pieejamība lauksaimniekiem sniegtu vairākus būtiskus ieguvumus: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-Siltumnīcefekta gāzu emisiju samazināšanu, īpaši ikdienas saimnieciskajos pārvadājumos (saimniecības transports, produkcijas loģistika, pakalpojumu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-Enerģētiskās neatkarības veicināšanu, jo elektroauto var tikt uzlādēti, izmantojot saimniecībās jau esošos vai nākotnē uzstādāmos AER risinājumus (saules paneļus, biogāzi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izmaksu samazinājumu lauksaimniekiem, ņemot vērā degvielas cenu svārstības un elektrotransporta zemākas ekspluatācijas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klimata un dekarbonizācijas mērķu sasniegšanu, vienlaikus nodrošinot taisnīgu pieeju atbalsta mehānismiem dažādām nozarēm.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programmā skaidri iekļaut lauksaimniekus kā atbalsta saņēmējus elektrotransportlīdzekļu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uzsākt dialogu ar nozares pārstāvjiem par praktiskajiem šķēršļiem un risinājumiem elektrotransporta ieviešanai lauksaimniecībā.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-ceram uz konstruktīvu diskusiju un risinājumiem, kas veicinātu gan Latvijas lauksaimniecības konkurētspēju, gan ilgtspējīgu attīstību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ir papildināts ar grozījumiem, kas paredz, ka konkursa 3. kārtā uz atbalstu var pieteikties arī lauksaimniecības nozares pārstāvji – saimnieciskās darbības veicēji lauksaimniecības nozarē, zemnieku saimniecības, kas nodarbojas ar lauksaimniecības primārās produkcijas ražošanu, un kooperatīvās sabiedrības lauksaimniecības nozarē (skat. MK noteikumu projekta 9.4., 9.5. un 9.6. apakšpunktu). Atbalsts pieejams gan elektrotransportlīdzekļu iegādei, gan to uzlādes infrastruktūras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minētajām kategorijām tiek sniegts saskaņā ar Komisijas Regulas (ES) Nr. 651/2014 36.a pantu (atbalsts ieguldījumiem uzlādes vai uzpildes infrastruktūrai) un 36.b pantu (atbalsts ieguldījumiem tīriem un bezemisiju transportlīdzekļiem). De minimis atbalsts saskaņā ar Komisijas Regulu (ES) Nr. 2023/2831 lauksaimniecības nozares pārstāvjiem netiek piemērots, jo minētās regulas 1. panta 1. punkta "c" apakšpunkts skaidri izslēdz tās piemērošanu uzņēmumiem, kas darbojas primārās lauksaimnieciskās ražošanas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Paredzētais regulējums vienlaikus veicina iebildumā uzsvērtos sasniedzamos rezultātus: siltumnīcefekta gāzu emisiju samazināšanu, lauksaimniecības energoneatkarību un Latvijas klimata mērķu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 32.</w:t>
            </w:r>
            <w:r w:rsidR="00000000" w:rsidRPr="00000000" w:rsidDel="00000000">
              <w:rPr>
                <w:vertAlign w:val="superscript"/>
                <w:rtl w:val="0"/>
              </w:rPr>
              <w:t xml:space="preserve">13</w:t>
            </w:r>
            <w:r w:rsidR="00000000" w:rsidRPr="00000000" w:rsidDel="00000000">
              <w:rPr>
                <w:rtl w:val="0"/>
              </w:rPr>
              <w:t xml:space="preserve"> panta </w:t>
            </w:r>
            <w:r w:rsidR="00000000" w:rsidRPr="00000000" w:rsidDel="00000000">
              <w:rPr>
                <w:rtl w:val="0"/>
              </w:rPr>
              <w:t xml:space="preserve">ceturto daļu </w:t>
            </w:r>
            <w:r w:rsidR="00000000" w:rsidRPr="00000000" w:rsidDel="00000000">
              <w:rPr>
                <w:rtl w:val="0"/>
              </w:rPr>
              <w:t xml:space="preserve">"Klimatnoturības un ekonomiskās ilgtspējas likuma" 18. panta</w:t>
            </w:r>
            <w:r w:rsidR="00000000" w:rsidRPr="00000000" w:rsidDel="00000000">
              <w:rPr>
                <w:rtl w:val="0"/>
              </w:rPr>
              <w:t xml:space="preserve"> </w:t>
            </w:r>
            <w:r w:rsidR="00000000" w:rsidRPr="00000000" w:rsidDel="00000000">
              <w:rPr>
                <w:rtl w:val="0"/>
              </w:rPr>
              <w:t xml:space="preserve">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ietverto skaidrojumu, kā arī to, ka likuma "Par piesārņojumu" 32.</w:t>
            </w:r>
            <w:r w:rsidR="00000000" w:rsidRPr="00000000" w:rsidDel="00000000">
              <w:rPr>
                <w:vertAlign w:val="superscript"/>
                <w:rtl w:val="0"/>
              </w:rPr>
              <w:t xml:space="preserve">13</w:t>
            </w:r>
            <w:r w:rsidR="00000000" w:rsidRPr="00000000" w:rsidDel="00000000">
              <w:rPr>
                <w:rtl w:val="0"/>
              </w:rPr>
              <w:t xml:space="preserve"> pants ir zaudējis spēku, lūdzam precizēt noteikumu izdošanas tiesiskā pamatojuma norādi un attiecīgi - arī grozīto noteikumu 1. punktu. Ministru kabineta 2009. gada 3. februāra noteikumu Nr. 108 "Normatīvo aktu projektu sagatavošanas noteikumi" 100. punkts noteic, ka noteikumu projekta pirmajā punktā secīgi raksta vārdus "noteikumi nosaka" un likumā noteikto pilnvarojumu Ministru kabinetam. Ievērojot minēto, nepieciešams atbilstoši precizēt noteikumu 1. punktu. Ja nepieciešams, lūdzam arī precizēt vai papildināt projektu, nodrošinot pilnīgu pilnvarojuma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izdošanas tiesiskā pamatojuma norāde.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1. punkts atbilstoši jaunajam noteikumu izdošanas tiesiskā pamatojuma tekstam (Klimatnoturības un ekonomiskās ilgtspējas likums 18. panta piektā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trešās kārtas ietvaros nepārsniedz 6 mēnešus no projekta līguma spēkā stāšanās dienas. Projekts uzskatāms par īstenotu, kad finansējuma saņēmējs, atbilstoši projekta līgumam ir īstenojis visas projekta iesniegumā plānotās aktivitātes un iesniedzis Vides investīciju fondā projekta īstenošanas noslēguma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M2 kategoriju transportlīdzekļiem piegādes termiņš ir 6-8 mēneši, tādēļ pastāv risks, ka 6 mēnešu laikā līguma izpilde objektīvu apstākļu dēļ var nebūt nodrošināma.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pagarināt konkursa trešās kārtas projekta īstenošanas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3.2. apakšpunkts precizēts, nosakot, ka konkursa trešās kārtas projektu īstenošanas periods nepārsniedz 8 mēnešus no projekta līguma spēkā stāšanās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trešās kārtas ietvaros nepārsniedz astoņus mēnešus no projekta līguma spēkā stāšanās dienas. Projekts uzskatāms par īstenotu, kad finansējuma saņēmējs, atbilstoši projekta līgumam ir īstenojis visas projekta iesniegumā plānotās aktivitātes un iesniedzis Vides investīciju fondā projekta īstenošanas noslēguma pārskatu.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5. novembra noteikumos Nr. 701 "Modernizācijas fonda finansēto projektu atklāta konkursa "Energoefektivitātes paaugstināšana transporta sektorā – atbalsts elektromobiļu un to uzlādes infrastruktūras ieviešanai"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iepirkumu centralizāciju pašvaldībās, VARAM rosina papildināt MK noteikumu Nr. 701 89. punktu ar normu, kas paredz iespēju pašvaldībām projekta ietvaros nepieciešamos iepirkumus veikt arī centralizēti, tostarp izmantojot centralizēto iepirkumu institūciju vai pašvaldību pārstāvošo organizāciju starpniecību, kā arī izvērtēt iespēju izstrādāt rekomendējošas vienotas tehniskās specifikācijas atbilstoši transportlīdzekļu kategorijām. Šāds risinājums, ņemot vērā Valsts kontroles 2026. gada 12. februārī publicētās lietderības revīzijas  Nr.2.4.1–63/2024 “Klimata mērķu sasniegšana transporta nozarē” starpziņojumā “Vai pašvaldību elektroautobusu pasākums īstenots lietderīgi?” ietvertos secinājumus par līdzīgu pasākumu īstenošanu, varētu mazināt administratīvo slogu pašvaldībām, veicināt efektīvāku publisko līdzekļu izmantošanu un vienlīdzīgu konkurenci, kā arī stiprināt pašvaldību kapacitāti.  Vienlaikus, ņemot vērā publiski pieejamo informāciju par salīdzinoši zemu pašvaldību aktivitāti šajā pasākumā (iesniegti tikai četri projekti no pašvaldībām un tiešās pārvaldes iestādēm), šāds regulējuma precizējums varētu palielināt pašvaldību interesi par dalību konkursā, vienlaikus saglabājot nepieciešamo elastību atbilstoši to individuālajām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izvērtētos institucionālos, tiesiskos, finanšu un ieviešanas riskus, ministrijas ieskatā, projektu konkursa īstenošanā izvēlētā pieeja ir pamatota un samērīga. Finansējuma saņēmēji tiks noteikti atklāta projektu iesniegumu konkursa ietvaros. Vienlaikus ministrijai nav praktiskas pieredzes attiecībā uz centralizēto iepirkumu piemērošanu projektu konkursos. Ņemot vērā publiski pieejamo informāciju: aktuālās ģeopolitiskās situācijas un tirgus svārstību ietekme, kā arī vēsturiskā pieredze ar centralizētiem iepirkumiem, kas uzrādījuši pārsūdzību, piegāžu kavējumu un neatbilstības lokālajām vajadzībām riskus, apliecināja, ka centralizēts iepirkums varētu radīt būtiskus apdraudējumus projektu konkursa savlaicīgai un efektīvai īstenošanai. Turklāt viena centralizēta iepirkuma apstrīdēšana varētu apturēt visu projektu īstenošanu, savukārt decentralizēta pieeja ļauj diversificēt riskus un nodrošināt cenu veidošanos atbilstoši tirgus apstākļiem, vienlaikus saglabājot elastību un atbilstību pašvaldību autonomijai, tai skaitā iespējai iegādāties savām vajadzībām nepieciešamo elektromobili.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5. novembra noteikumos Nr. 701 "Modernizācijas fonda finansēto projektu atklāta konkursa "Energoefektivitātes paaugstināšana transporta sektorā – atbalsts elektromobiļu un to uzlādes infrastruktūras ieviešanai"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rosina papildināt MK noteikumu Nr.701 regulējumu (pievienojot jaunu MK noteikumu punktu) ar uzskaitījumu, ko šo noteikumu izpratnē uzskata par papildinošo saimniecisko darbību projektos, kur projekta iesniedzējs ir pašvaldība vai tiešās pārvaldes iestāde un finansējums tiek piešķirts, lai nodrošinātu pārvaldes funkciju un pārvaldes uzdevumu, tostarp pašvaldības autonomo funkciju, īstenošanu. Šāds precizējums, tostarp norādot konkrētus piemērus, kādos gadījumos elektromobiļu izmantošana ir uzskatāma par papildinošo saimniecisko darbību, veicinātu pašvaldību izpratni par elektromobiļu praktiskās izmantošanas iespējām, mazinātu interpretācijas riskus un vienlaikus varētu palielināt pašvaldību interesi par dalību konkursā, ņemot vērā skaidrāku priekšstatu par transportlīdzekļu praktisko lietojamību un papildu ieguvumiem. Kā arī ir būtiski, ka MK noteikumu Nr. 701 26. punktā minētie metodiskie norādījumi par papildinošas saimnieciskās darbības uzraudzību tiek izstrādāti un ir pieejami pašvaldībām savlaicīgi (proti, visiem nosacījumiem projektu iesniedzējiem ir jābūt zināmiem pirms projekta pieteikuma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netiks papildināts ar jaunu paskaidrojošu punktu, kas uzskaitītu papildinošās saimnieciskās darbības piemērus. Tomēr, lai mazinātu interpretācijas riskus un atvieglotu projektu sagatavošanu, skaidrojums saistībā ar papildinošo saimniecisko darbību projektos tiks iekļauts Vides investīciju fonda (VIF) vadlīnijās projektu iesniedzējiem.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2024. gada 5. novembra noteikumos Nr. 701 "Modernizācijas fonda finansēto projektu atklāta konkursa "Energoefektivitātes paaugstināšana transporta sektorā – atbalsts elektromobiļu un to uzlādes infrastruktūras ieviešanai"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izskatījusi KEM sagatavoto tiesību akta projektu un izsaka sekojošu priekšlikumu: Ierosinām izvērtēt iespēju paredzēt teritoriāli diferencētus atbalsta nosacījumus, nosakot, ka atsevišķās teritorijās, ņemot vērā to atšķirīgos sociālekonomiskos rādītājus, piemērojami diferencēti – attiecīgajai teritorijai labvēlīgāki – kritēriji un nosacījumi, piemēram, Austrumu pierobežai.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sniegto priekšlikumu ministrija uzskata, ka projektu konkursa (kārtas) ietvaros ir nepieciešams nodrošināt vienlīdzīgas iespējas visām pašvaldībām pārejai uz bezemisiju transportlīdzekļiem, piemērojot skaidrus, caurskatāmus un vienotus atbalsta nosacījumus visā Latvijas teritorijā. Atšķirīgu kritēriju vai nosacījumu noteikšana atsevišķām teritorijām nav pamatota ar projektu konkursa mērķi, kā arī varētu mazināt vienlīdzīgas attieksmes principa ievērošanu attiecībā uz atbalsta saņēmējiem. Tādēļ projekta ietvaros nav paredzēts ieviest teritoriāli diferencētus atbalsta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MK noteikumu projektā noteiktais finansējuma apjoms un atbalsta nosacījumi ir cieši saskaņoti ar ministrijas sagatavoto un Eiropas Investīciju bankā (EIB) saskaņoto investīciju priekšlikumu “Energoefektivitātes paaugstināšana transporta sektorā – atbalsts elektromobiļu un to uzlādes infrastruktūras ieviešanai“ (Energy efficiency in transport – support for introduction of electric vehicles and corresponding charging infrastructure). Tādējādi investīciju priekšlikumā un līdz ar to arī MK noteikumu projektā ietvertie nosacījumi un kritēriji ir priekšnoteikums, lai nodrošinātu pieejamā finansējuma pamatotu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Modernizācijas fonda finansēto projektu atklāta konkursa “Energoefektivitātes paaugstināšana transporta sektorā – atbalsts elektromobiļu un to uzlādes infrastruktūras ieviešanai” trešās kārtas projekta iesnieguma veidlapas (1.</w:t>
            </w:r>
            <w:r w:rsidR="00000000" w:rsidRPr="00000000" w:rsidDel="00000000">
              <w:rPr>
                <w:vertAlign w:val="superscript"/>
                <w:rtl w:val="0"/>
              </w:rPr>
              <w:t xml:space="preserve">1 </w:t>
            </w:r>
            <w:r w:rsidR="00000000" w:rsidRPr="00000000" w:rsidDel="00000000">
              <w:rPr>
                <w:rtl w:val="0"/>
              </w:rPr>
              <w:t xml:space="preserve">pielikums)  2.1. sadaļas “Elektromobiļu iegāde vai līzings” 4. parametra datu norādes veidu, piemēram, paredzot atbildes formātu “Jā/Nē”, līdzīgi kā tas noteikts 3. un 5. parametrā, nepārprotamas skaidrības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Modernizācijas fonda finansēto projektu atklāta konkursa “Energoefektivitātes paaugstināšana transporta sektorā – atbalsts elektromobiļu un to uzlādes infrastruktūras ieviešanai” trešās kārtas projekta iesnieguma veidlapas (1.</w:t>
            </w:r>
            <w:r w:rsidR="00000000" w:rsidRPr="00000000" w:rsidDel="00000000">
              <w:rPr>
                <w:vertAlign w:val="superscript"/>
                <w:rtl w:val="0"/>
              </w:rPr>
              <w:t xml:space="preserve">1</w:t>
            </w:r>
            <w:r w:rsidR="00000000" w:rsidRPr="00000000" w:rsidDel="00000000">
              <w:rPr>
                <w:rtl w:val="0"/>
              </w:rPr>
              <w:t xml:space="preserve"> pielikums) precizēts, 2.1. sadaļas “Elektromobiļu iegāde vai līzings” 4. parametram paredzot atbildes formātu “Jā/Nē”.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"Energoefektivitātes paaugstināšana transporta sektorā – atbalsts elektromobiļu un to uzlādes infrastruktūras ieviešanai"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1.punkts paredz izteikt noteikumu nosaukumu jaunā redakcijā, bet salīdzinot to ar spēkā esošo nosaukumu, izmaiņu tajā nav.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 noteikumu projektam nosaukums nav mainījies.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likuma </w:t>
            </w:r>
            <w:r w:rsidR="00000000" w:rsidRPr="00000000" w:rsidDel="00000000">
              <w:rPr>
                <w:rtl w:val="0"/>
              </w:rPr>
              <w:t xml:space="preserve">"Par piesārņojumu" 32.</w:t>
            </w:r>
            <w:r w:rsidR="00000000" w:rsidRPr="00000000" w:rsidDel="00000000">
              <w:rPr>
                <w:vertAlign w:val="superscript"/>
                <w:rtl w:val="0"/>
              </w:rPr>
              <w:t xml:space="preserve">13</w:t>
            </w:r>
            <w:r w:rsidR="00000000" w:rsidRPr="00000000" w:rsidDel="00000000">
              <w:rPr>
                <w:rtl w:val="0"/>
              </w:rPr>
              <w:t xml:space="preserve"> panta </w:t>
            </w:r>
            <w:r w:rsidR="00000000" w:rsidRPr="00000000" w:rsidDel="00000000">
              <w:rPr>
                <w:rtl w:val="0"/>
              </w:rPr>
              <w:t xml:space="preserve">ceturto daļu </w:t>
            </w:r>
            <w:r w:rsidR="00000000" w:rsidRPr="00000000" w:rsidDel="00000000">
              <w:rPr>
                <w:rtl w:val="0"/>
              </w:rPr>
              <w:t xml:space="preserve">"Klimatnoturības un ekonomiskās ilgtspējas likuma" 18. panta</w:t>
            </w:r>
            <w:r w:rsidR="00000000" w:rsidRPr="00000000" w:rsidDel="00000000">
              <w:rPr>
                <w:rtl w:val="0"/>
              </w:rPr>
              <w:t xml:space="preserve"> </w:t>
            </w:r>
            <w:r w:rsidR="00000000" w:rsidRPr="00000000" w:rsidDel="00000000">
              <w:rPr>
                <w:rtl w:val="0"/>
              </w:rPr>
              <w:t xml:space="preserve">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2.punkts paredz precizēt tiesību akta izdošanas pamatojumu, papildinot to ar norādi uz Klimatnoturības un ekonomiskās ilgtspējas likumu, vienlaikus saglabājot norādi uz likumu “Par piesārņojumu”, tomēr vēršam uzmanību, ka likumā “Par piesārņojumu” pie V</w:t>
            </w:r>
            <w:r w:rsidR="00000000" w:rsidRPr="00000000" w:rsidDel="00000000">
              <w:rPr>
                <w:vertAlign w:val="superscript"/>
                <w:rtl w:val="0"/>
              </w:rPr>
              <w:t xml:space="preserve">3</w:t>
            </w:r>
            <w:r w:rsidR="00000000" w:rsidRPr="00000000" w:rsidDel="00000000">
              <w:rPr>
                <w:rtl w:val="0"/>
              </w:rPr>
              <w:t xml:space="preserve"> nodaļas “Modernizācijas fonds” ir atruna, ka nodaļa zaudēs spēku vienlaikus ar Ekonomiskās ilgtspējas likuma spēkā stāšanos, kā tas noteikts arī pārejas noteikumu 83. punktā, savukārt Klimatnoturības un ekonomiskās ilgtspējas likuma pārejas noteikumu 14.punktā norādīts, ka līdz attiecīgu grozījumu izdarīšanai citos normatīvajos aktos ar Ekonomiskās ilgtspējas likumu saprot Klimatnoturības un ekonomiskās ilgtspējas likumu. Lūdzam izvērtēt, vai minētās normas nenozīmē, ka tiesību akta izdošanas pamatojumā jāiekļauj atsauce tikai uz Klimatnoturības un ekonomiskās ilgtspējas likuma 18. panta piekto daļu, un attiecīgi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izdošanas tiesiskā pamatojuma norāde.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1. punkts atbilstoši jaunajam noteikumu izdošanas tiesiskā pamatojuma tekstam (Klimatnoturības un ekonomiskās ilgtspējas likums 18. panta piektā 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vismaz četrus gadus pēc projekta īstenošanas termiņa beigām vai kamēr ar elektromobili nobraukts vismaz 41 600 km (no tā reģistrācijas brīža finansējuma saņēmēja īpašumā vai turējumā), ja tas tiek sasniegts mazāk nekā četros gados - konkursa trešās kārtas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nesamazināt nepieciešamā nobraukuma vajadzību vien līdz 41 600 km. Saprotam, ka trešajā kārtā ir plānots samazināt dažādas prasības, lai atbalsta programma kļūtu pieejamāka un veicinātu pieprasīju pēc tās, taču esošā prasība nobraukumam ir pat mazāka nekā līdzīgas atbalsta programmas īstenošanā privātpersonām EKII ietvaros. Tas rada šaubas par elektromobiļa nozīmīgumu uzņēmuma saimnieciskajā darbībā un ievērojamais samazinājums nobraukuma prasībā rada lielus riskus, ka pasākuma efektivitāte būtiski kritīsies. Līdz ar to, ka ir samazinātas arī citas prasības, kas palielinās pieprasījumu pēc šīs atbalsta programmas, ierobežotā finansējuma dēļ pastāv risks, ka atbalstu nesaņems potenciālie programmas dalībnieki, kuri varētu nodrošināt augstāku nobraukumu, tādējādi arī šī pasākuma efektivitāti. Ja pieprasījums būtiski pārsniegs piedāvājumu, tas norādīs uz to, ka publiskais finansējums attiecīgajā atbalsta programmā varēja tikt izmantots efektīvāk vai nu samazinot atbalsta apmērus, vai palielinot nobraukuma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32.2. apakšpunkts precizēts, ieviešot diferencētas nobraukuma prasības konkursa trešās kārtas ietvaros atbilstoši saņēmēju grupu darbības specifikai. Komersantiem un lauksaimniecības nozares saņēmējiem (9.3., 9.4., 9.5. un 9.6. apakšpunktā minētajiem projektu iesniedzējiem) tiek saglabāta 80 000 km nobraukuma prasība, nodrošinot, ka atbalsts tiek novirzīts intensīvi ekspluatētiem transportlīdzekļiem ar augstu ikgadējo nobraukumu un līdz ar to ar lielāku ietekmi uz SEG emisiju samazināšanu. Savukārt pašvaldībām un tiešās pārvaldes iestādēm (9.1. un 9.2. apakšpunktā minētajiem projektu iesniedzējiem) nobraukuma prasība noteikta 41 600 km apmērā, atspoguļojot šo saņēmēju zemāku transportlīdzekļu ekspluatācijas intensitāti un atšķirīgo lietošanas specifiku, kā arī veicinot plašāku pašvaldību dalību konkursā.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šo noteikumu </w:t>
            </w:r>
            <w:r w:rsidR="00000000" w:rsidRPr="00000000" w:rsidDel="00000000">
              <w:rPr>
                <w:rtl w:val="0"/>
              </w:rPr>
              <w:t xml:space="preserve">9.1.</w:t>
            </w:r>
            <w:r w:rsidR="00000000" w:rsidRPr="00000000" w:rsidDel="00000000">
              <w:rPr>
                <w:rtl w:val="0"/>
              </w:rPr>
              <w:t xml:space="preserve"> un </w:t>
            </w:r>
            <w:r w:rsidR="00000000" w:rsidRPr="00000000" w:rsidDel="00000000">
              <w:rPr>
                <w:rtl w:val="0"/>
              </w:rPr>
              <w:t xml:space="preserve">9.2.</w:t>
            </w:r>
            <w:r w:rsidR="00000000" w:rsidRPr="00000000" w:rsidDel="00000000">
              <w:rPr>
                <w:rtl w:val="0"/>
              </w:rPr>
              <w:t xml:space="preserve"> apakšpunktā minētajiem projektu iesniedzējiem vismaz četrus gadus pēc projekta īstenošanas termiņa beigām vai kamēr ar elektromobili nobraukts vismaz 41 600 km (no tā reģistrācijas brīža finansējuma saņēmēja īpašumā vai turējumā), ja tas tiek sasniegts mazāk nekā četros gados, un šo noteikumu </w:t>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9.4.</w:t>
            </w:r>
            <w:r w:rsidR="00000000" w:rsidRPr="00000000" w:rsidDel="00000000">
              <w:rPr>
                <w:rtl w:val="0"/>
              </w:rPr>
              <w:t xml:space="preserve"> un </w:t>
            </w:r>
            <w:r w:rsidR="00000000" w:rsidRPr="00000000" w:rsidDel="00000000">
              <w:rPr>
                <w:rtl w:val="0"/>
              </w:rPr>
              <w:t xml:space="preserve">9.5.</w:t>
            </w:r>
            <w:r w:rsidR="00000000" w:rsidRPr="00000000" w:rsidDel="00000000">
              <w:rPr>
                <w:rtl w:val="0"/>
              </w:rPr>
              <w:t xml:space="preserve"> ​​​apakšpunktā minētajiem projektu iesniedzējiem vismaz četrus gadus pēc projekta īstenošanas termiņa beigām vai kamēr ar elektromobili nobraukts vismaz 80 000 km (no tā reģistrācijas brīža finansējuma saņēmēja īpašumā vai turējumā), ja tas tiek sasniegts mazāk nekā četros gados, - konkursa trešās kārtas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w:t>
            </w:r>
            <w:r w:rsidR="00000000" w:rsidRPr="00000000" w:rsidDel="00000000">
              <w:rPr>
                <w:rtl w:val="0"/>
              </w:rPr>
              <w:t xml:space="preserve">17.3.</w:t>
            </w:r>
            <w:r w:rsidR="00000000" w:rsidRPr="00000000" w:rsidDel="00000000">
              <w:rPr>
                <w:rtl w:val="0"/>
              </w:rPr>
              <w:t xml:space="preserve"> apakšpunktā</w:t>
            </w:r>
            <w:r w:rsidR="00000000" w:rsidRPr="00000000" w:rsidDel="00000000">
              <w:rPr>
                <w:rtl w:val="0"/>
              </w:rPr>
              <w:t xml:space="preserve"> minētās aktivitātes ietvaros saražotā elektroenerģija 100 % apmērā tiek izmantota projekta ietvaros ierīkotā elektromobiļu uzlādes punkta darbības nodrošināšanai, uzlādes punkta teritorijas funkciju (piemēram, apgaismojuma) nodrošināšanai, kā arī finansējuma saņēmēja pašpatēriņa vajadzību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skaidrot izmaiņas grozīto noteikumu 47. punktā (proti, punkta papildināšanu ar vārdiem "kā arī finansējuma saņēmēja pašpatēriņa vajadzību nodrošināšanai"), skaidrojot konkrēto izmaiņu atbilstību konkursa mērķim, tostarp ņemot vērā, ka tiek piešķirts publiskais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izvērstāku skaidrojumu par MK noteikumu projekta 47. punkta izdarīto grozījumu pamatojumu.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Šo noteikumu </w:t>
            </w:r>
            <w:r w:rsidR="00000000" w:rsidRPr="00000000" w:rsidDel="00000000">
              <w:rPr>
                <w:rtl w:val="0"/>
              </w:rPr>
              <w:t xml:space="preserve">17.3.</w:t>
            </w:r>
            <w:r w:rsidR="00000000" w:rsidRPr="00000000" w:rsidDel="00000000">
              <w:rPr>
                <w:rtl w:val="0"/>
              </w:rPr>
              <w:t xml:space="preserve"> apakšpunktā</w:t>
            </w:r>
            <w:r w:rsidR="00000000" w:rsidRPr="00000000" w:rsidDel="00000000">
              <w:rPr>
                <w:rtl w:val="0"/>
              </w:rPr>
              <w:t xml:space="preserve"> minētās aktivitātes ietvaros saražotā elektroenerģija 100 % apmērā tiek izmantota projekta ietvaros ierīkotā elektromobiļu uzlādes punkta darbības nodrošināšanai, uzlādes punkta teritorijas funkciju (piemēram, apgaismojuma) nodrošināšanai, kā arī finansējuma saņēmēja pašpatēriņa vajadzību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Piešķirot </w:t>
            </w:r>
            <w:r w:rsidR="00000000" w:rsidRPr="00000000" w:rsidDel="00000000">
              <w:rPr>
                <w:i w:val="1"/>
                <w:rtl w:val="0"/>
              </w:rPr>
              <w:t xml:space="preserve">de minimis </w:t>
            </w:r>
            <w:r w:rsidR="00000000" w:rsidRPr="00000000" w:rsidDel="00000000">
              <w:rPr>
                <w:rtl w:val="0"/>
              </w:rPr>
              <w:t xml:space="preserve">atbalstu,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skaitot no atbalsta piešķiršanas dienas, piešķirto </w:t>
            </w:r>
            <w:r w:rsidR="00000000" w:rsidRPr="00000000" w:rsidDel="00000000">
              <w:rPr>
                <w:i w:val="1"/>
                <w:rtl w:val="0"/>
              </w:rPr>
              <w:t xml:space="preserve">de minimis </w:t>
            </w:r>
            <w:r w:rsidR="00000000" w:rsidRPr="00000000" w:rsidDel="00000000">
              <w:rPr>
                <w:rtl w:val="0"/>
              </w:rPr>
              <w:t xml:space="preserve">atbalstu viena vienota uzņēmuma līmenī nepārsniedz regulas Nr. </w:t>
            </w:r>
            <w:r w:rsidR="00000000" w:rsidRPr="00000000" w:rsidDel="00000000">
              <w:rPr>
                <w:rtl w:val="0"/>
              </w:rPr>
              <w:t xml:space="preserve">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Viens vienots uzņēmums ir uzņēmums, kas atbilst regulas Nr. </w:t>
            </w:r>
            <w:r w:rsidR="00000000" w:rsidRPr="00000000" w:rsidDel="00000000">
              <w:rPr>
                <w:rtl w:val="0"/>
              </w:rPr>
              <w:t xml:space="preserve">2023/2831</w:t>
            </w:r>
            <w:r w:rsidR="00000000" w:rsidRPr="00000000" w:rsidDel="00000000">
              <w:rPr>
                <w:rtl w:val="0"/>
              </w:rPr>
              <w:t xml:space="preserve"> 2. panta 2.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de minimis nosacījumi ir jāvērtē uz atbalsta piešķiršanas brīdi, lūdzam noteikumus papildināt ar normu, piem., šādā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investīciju fonds veic atbalsta pretendenta izvērtēšanu atbilstoši Komisijas regulas Nr.2023/2831 nosacījumiem uz atbalsta piešķiršanas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punktā noteikts, ka "Piešķirot </w:t>
            </w:r>
            <w:r w:rsidR="00000000" w:rsidRPr="00000000" w:rsidDel="00000000">
              <w:rPr>
                <w:i w:val="1"/>
                <w:rtl w:val="0"/>
              </w:rPr>
              <w:t xml:space="preserve">de minimis</w:t>
            </w:r>
            <w:r w:rsidR="00000000" w:rsidRPr="00000000" w:rsidDel="00000000">
              <w:rPr>
                <w:rtl w:val="0"/>
              </w:rPr>
              <w:t xml:space="preserve"> atbalstu, pārbauda, vai plānotais </w:t>
            </w:r>
            <w:r w:rsidR="00000000" w:rsidRPr="00000000" w:rsidDel="00000000">
              <w:rPr>
                <w:i w:val="1"/>
                <w:rtl w:val="0"/>
              </w:rPr>
              <w:t xml:space="preserve">de minimis</w:t>
            </w:r>
            <w:r w:rsidR="00000000" w:rsidRPr="00000000" w:rsidDel="00000000">
              <w:rPr>
                <w:rtl w:val="0"/>
              </w:rPr>
              <w:t xml:space="preserve"> atbalsts kopā ar iepriekšējos trijos gados, skaitot no </w:t>
            </w:r>
            <w:r w:rsidR="00000000" w:rsidRPr="00000000" w:rsidDel="00000000">
              <w:rPr>
                <w:b w:val="1"/>
                <w:rtl w:val="0"/>
              </w:rPr>
              <w:t xml:space="preserve">atbalsta piešķiršanas dienas </w:t>
            </w:r>
            <w:r w:rsidR="00000000" w:rsidRPr="00000000" w:rsidDel="00000000">
              <w:rPr>
                <w:rtl w:val="0"/>
              </w:rPr>
              <w:t xml:space="preserve">[..]". Savukārt noteikumu projekta 58. punkts nosaka, ka "Komercdarbības atbalsta piešķiršanas brīdis ir diena, kad tiek pieņemts lēmums par projekta iesnieguma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Piešķirot </w:t>
            </w:r>
            <w:r w:rsidR="00000000" w:rsidRPr="00000000" w:rsidDel="00000000">
              <w:rPr>
                <w:i w:val="1"/>
                <w:rtl w:val="0"/>
              </w:rPr>
              <w:t xml:space="preserve">de minimis </w:t>
            </w:r>
            <w:r w:rsidR="00000000" w:rsidRPr="00000000" w:rsidDel="00000000">
              <w:rPr>
                <w:rtl w:val="0"/>
              </w:rPr>
              <w:t xml:space="preserve">atbalstu,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skaitot no atbalsta piešķiršanas dienas, piešķirto </w:t>
            </w:r>
            <w:r w:rsidR="00000000" w:rsidRPr="00000000" w:rsidDel="00000000">
              <w:rPr>
                <w:i w:val="1"/>
                <w:rtl w:val="0"/>
              </w:rPr>
              <w:t xml:space="preserve">de minimis </w:t>
            </w:r>
            <w:r w:rsidR="00000000" w:rsidRPr="00000000" w:rsidDel="00000000">
              <w:rPr>
                <w:rtl w:val="0"/>
              </w:rPr>
              <w:t xml:space="preserve">atbalstu viena vienota uzņēmuma līmenī nepārsniedz regulas Nr. </w:t>
            </w:r>
            <w:r w:rsidR="00000000" w:rsidRPr="00000000" w:rsidDel="00000000">
              <w:rPr>
                <w:rtl w:val="0"/>
              </w:rPr>
              <w:t xml:space="preserve">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Viens vienots uzņēmums ir uzņēmums, kas atbilst regulas Nr. </w:t>
            </w:r>
            <w:r w:rsidR="00000000" w:rsidRPr="00000000" w:rsidDel="00000000">
              <w:rPr>
                <w:rtl w:val="0"/>
              </w:rPr>
              <w:t xml:space="preserve">2023/2831</w:t>
            </w:r>
            <w:r w:rsidR="00000000" w:rsidRPr="00000000" w:rsidDel="00000000">
              <w:rPr>
                <w:rtl w:val="0"/>
              </w:rPr>
              <w:t xml:space="preserve"> 2. panta 2. punktam.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Konkursa trešās kārtas ietvaros projektu iesniegumu iesniegšanas termiņš pēc projektu konkursa izsludināšanas ir līdz 2029. gada 31. decembrim vai brīdim, kad beidzas šo noteikumu </w:t>
            </w:r>
            <w:r w:rsidR="00000000" w:rsidRPr="00000000" w:rsidDel="00000000">
              <w:rPr>
                <w:rtl w:val="0"/>
              </w:rPr>
              <w:t xml:space="preserve">12.2. </w:t>
            </w:r>
            <w:r w:rsidR="00000000" w:rsidRPr="00000000" w:rsidDel="00000000">
              <w:rPr>
                <w:rtl w:val="0"/>
              </w:rPr>
              <w:t xml:space="preserve">apakšpunktā</w:t>
            </w:r>
            <w:r w:rsidR="00000000" w:rsidRPr="00000000" w:rsidDel="00000000">
              <w:rPr>
                <w:rtl w:val="0"/>
              </w:rPr>
              <w:t xml:space="preserve"> minētais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grozīto noteikumu 64.</w:t>
            </w:r>
            <w:r w:rsidR="00000000" w:rsidRPr="00000000" w:rsidDel="00000000">
              <w:rPr>
                <w:vertAlign w:val="superscript"/>
                <w:rtl w:val="0"/>
              </w:rPr>
              <w:t xml:space="preserve">1</w:t>
            </w:r>
            <w:r w:rsidR="00000000" w:rsidRPr="00000000" w:rsidDel="00000000">
              <w:rPr>
                <w:rtl w:val="0"/>
              </w:rPr>
              <w:t xml:space="preserve"> punktā ietverto projektu iesniegumu iesniegšanas termiņu kontekstā ar citiem noteikumos noteiktajiem termiņiem, it īpaši lēmuma par atbalsta piešķiršanu pieņemšanas termiņu (līdz 2029. gada 31. decembrim - sk. noteikumu 51. punktu). Aicinām izvērtēt, vai nav nepieciešams precizēt regulējumu, ņemot vērā, ka nepieciešams laiks, lai projekta iesniegumu izvērtētu. Alternatīvi aicinām sniegt skaidrojumu, ja precizējumi nav nepieciešami.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64.1 punkts ir precizēts šādā redakcijā: "Projektu iesniegumu pieņemšana konkursa trešās kārtas ietvaros pēc tās izsludināšanas notiek nepārtraukti, bet ne ilgāk kā piecus gadus pēc konkursa pirmās kārtas izsludināšanas dienas, vai līdz brīdim, kad beidzas šo noteikumu 12. punktā minētais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Piecu gadu termiņš atbilst Komisijas Īstenošanas Regulas (ES) Nr. 2020/1001 7. panta 7. punktā noteiktajam ierobežojumam, saskaņā ar kuru Modernizācijas fonda atbalsta shēmas darbības ilgums nedrīkst pārsniegt piecus gadus. Tas nodrošina arī laika rezervi starp projekta iesniegumu izvērtēšanu un MK noteikumu 51. punktā paredzēto lēmuma par atbalsta piešķiršanu pieņemšanas termiņu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r w:rsidR="00000000" w:rsidRPr="00000000" w:rsidDel="00000000">
              <w:rPr>
                <w:vertAlign w:val="superscript"/>
                <w:rtl w:val="0"/>
              </w:rPr>
              <w:t xml:space="preserve">1</w:t>
            </w:r>
            <w:r w:rsidR="00000000" w:rsidRPr="00000000" w:rsidDel="00000000">
              <w:rPr>
                <w:rtl w:val="0"/>
              </w:rPr>
              <w:t xml:space="preserve"> Projektu iesniegumu pieņemšana konkursa trešās kārtas ietvaros pēc tās izsludināšanas notiek nepārtraukti, bet ne ilgāk kā piecus gadus pēc konkursa pirmās kārtas izsludināšanas dienas, vai līdz brīdim, kad beidzas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minētais finansējums.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pilnvara, kurā persona ir pilnvarota parakstīt projekta iesniegumu un ar projekta īstenošanu saistītās aktivitātes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vai skaidrot, kas grozīto noteikumu 65.1. apakšpunkta izpratnē domāts ar </w:t>
            </w:r>
            <w:r w:rsidR="00000000" w:rsidRPr="00000000" w:rsidDel="00000000">
              <w:rPr>
                <w:u w:val="single"/>
                <w:rtl w:val="0"/>
              </w:rPr>
              <w:t xml:space="preserve">aktivitāšu parakstīšanu,</w:t>
            </w:r>
            <w:r w:rsidR="00000000" w:rsidRPr="00000000" w:rsidDel="00000000">
              <w:rPr>
                <w:rtl w:val="0"/>
              </w:rPr>
              <w:t xml:space="preserve"> vai redakcionāli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65.</w:t>
            </w:r>
            <w:r w:rsidR="00000000" w:rsidRPr="00000000" w:rsidDel="00000000">
              <w:rPr>
                <w:vertAlign w:val="superscript"/>
                <w:rtl w:val="0"/>
              </w:rPr>
              <w:t xml:space="preserve">1</w:t>
            </w:r>
            <w:r w:rsidR="00000000" w:rsidRPr="00000000" w:rsidDel="00000000">
              <w:rPr>
                <w:rtl w:val="0"/>
              </w:rPr>
              <w:t xml:space="preserve"> apakšpunkts, kā arī 1.</w:t>
            </w:r>
            <w:r w:rsidR="00000000" w:rsidRPr="00000000" w:rsidDel="00000000">
              <w:rPr>
                <w:vertAlign w:val="superscript"/>
                <w:rtl w:val="0"/>
              </w:rPr>
              <w:t xml:space="preserve">1</w:t>
            </w:r>
            <w:r w:rsidR="00000000" w:rsidRPr="00000000" w:rsidDel="00000000">
              <w:rPr>
                <w:rtl w:val="0"/>
              </w:rPr>
              <w:t xml:space="preserve"> pielikuma 3. sadaļa "Iesniedzami dokumenti" precizēta, lai viestu skaidrību, ka viens no iesniedzamajiem dokumentiem ir pilnvara, kurā persona ir pilnvarota parakstīt projekta iesniegumu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pilnvara, kurā persona ir pilnvarota parakstīt projekta iesniegumu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"Energoefektivitātes paaugstināšana transporta sektorā – atbalsts elektromobiļu un to uzlādes infrastruktūras ieviešanai" TREŠĀS KĀRTAS PROJEKTA IESNIEGUMA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skaidrot, par kādām administratīva un finansiāla rakstura sankcijām ir runa grozīto noteikumu 1.</w:t>
            </w:r>
            <w:r w:rsidR="00000000" w:rsidRPr="00000000" w:rsidDel="00000000">
              <w:rPr>
                <w:vertAlign w:val="superscript"/>
                <w:rtl w:val="0"/>
              </w:rPr>
              <w:t xml:space="preserve">1</w:t>
            </w:r>
            <w:r w:rsidR="00000000" w:rsidRPr="00000000" w:rsidDel="00000000">
              <w:rPr>
                <w:rtl w:val="0"/>
              </w:rPr>
              <w:t xml:space="preserve"> pielikuma 7.6. apakšpunktā ("Apzinos, ka nepatiesas apliecinājumā sniegtās informācijas dēļ pret projekta iesniedzēju var tikt uzsāktas administratīva un finansiāla rakstura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9. sadaļa "Precizējumi projekta iesnieguma iesniegšanas kārtībā" papildināta ar skaidrojumu par administratīva un finansiāla rakstura sankcijām, kas norādītas 1.</w:t>
            </w:r>
            <w:r w:rsidR="00000000" w:rsidRPr="00000000" w:rsidDel="00000000">
              <w:rPr>
                <w:vertAlign w:val="superscript"/>
                <w:rtl w:val="0"/>
              </w:rPr>
              <w:t xml:space="preserve">1</w:t>
            </w:r>
            <w:r w:rsidR="00000000" w:rsidRPr="00000000" w:rsidDel="00000000">
              <w:rPr>
                <w:rtl w:val="0"/>
              </w:rPr>
              <w:t xml:space="preserve"> pielikuma apliecinājuma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"Energoefektivitātes paaugstināšana transporta sektorā – atbalsts elektromobiļu un to uzlādes infrastruktūras ieviešanai" TREŠĀS KĀRTAS PROJEKTA IESNIEGUMA VEIDLAPA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25-TA-2357</w:t>
    </w:r>
    <w:r>
      <w:br/>
    </w:r>
    <w:r w:rsidR="00000000" w:rsidRPr="00000000" w:rsidDel="00000000">
      <w:rPr>
        <w:rtl w:val="0"/>
      </w:rPr>
      <w:t xml:space="preserve">20.08.2026. 17.56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25-TA-2357</w:t>
    </w:r>
    <w:r>
      <w:br/>
    </w:r>
    <w:r w:rsidR="00000000" w:rsidRPr="00000000" w:rsidDel="00000000">
      <w:rPr>
        <w:rtl w:val="0"/>
      </w:rPr>
      <w:t xml:space="preserve">20.08.2026. 17.56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Izziņa_25-TA-2357.docx</dc:title>
</cp:coreProperties>
</file>

<file path=docProps/custom.xml><?xml version="1.0" encoding="utf-8"?>
<Properties xmlns="http://schemas.openxmlformats.org/officeDocument/2006/custom-properties" xmlns:vt="http://schemas.openxmlformats.org/officeDocument/2006/docPropsVTypes"/>
</file>