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6C7" w:rsidRPr="00DD363D" w:rsidRDefault="007116C7" w:rsidP="00DB7395">
      <w:pPr>
        <w:pStyle w:val="naislab"/>
        <w:spacing w:before="0" w:after="0"/>
        <w:ind w:firstLine="720"/>
        <w:rPr>
          <w:sz w:val="28"/>
          <w:szCs w:val="28"/>
        </w:rPr>
      </w:pPr>
      <w:bookmarkStart w:id="0" w:name="_GoBack"/>
      <w:bookmarkEnd w:id="0"/>
      <w:r w:rsidRPr="00DD363D">
        <w:rPr>
          <w:sz w:val="28"/>
          <w:szCs w:val="28"/>
        </w:rPr>
        <w:t> </w:t>
      </w:r>
    </w:p>
    <w:p w:rsidR="00C80A24" w:rsidRPr="00DD363D" w:rsidRDefault="00C80A24" w:rsidP="00C80A24">
      <w:pPr>
        <w:jc w:val="center"/>
        <w:rPr>
          <w:b/>
        </w:rPr>
      </w:pPr>
      <w:r w:rsidRPr="00DD363D">
        <w:rPr>
          <w:b/>
        </w:rPr>
        <w:t xml:space="preserve">Izziņa par atzinumos sniegtajiem iebildumiem par </w:t>
      </w:r>
      <w:r w:rsidR="00FA2B70" w:rsidRPr="00DD363D">
        <w:rPr>
          <w:b/>
        </w:rPr>
        <w:t>likum</w:t>
      </w:r>
      <w:r w:rsidRPr="00DD363D">
        <w:rPr>
          <w:b/>
        </w:rPr>
        <w:t>projektu “</w:t>
      </w:r>
      <w:r w:rsidR="00FA2B70" w:rsidRPr="00DD363D">
        <w:rPr>
          <w:b/>
        </w:rPr>
        <w:t>Grozījums Streiku likumā</w:t>
      </w:r>
      <w:r w:rsidRPr="00DD363D">
        <w:rPr>
          <w:b/>
        </w:rPr>
        <w:t>” (VSS</w:t>
      </w:r>
      <w:r w:rsidR="000F3F35" w:rsidRPr="00DD363D">
        <w:rPr>
          <w:b/>
        </w:rPr>
        <w:t> </w:t>
      </w:r>
      <w:r w:rsidRPr="00DD363D">
        <w:rPr>
          <w:b/>
        </w:rPr>
        <w:t>-</w:t>
      </w:r>
      <w:r w:rsidR="000F3F35" w:rsidRPr="00DD363D">
        <w:rPr>
          <w:b/>
        </w:rPr>
        <w:t> </w:t>
      </w:r>
      <w:r w:rsidR="009C5FF9" w:rsidRPr="00DD363D">
        <w:rPr>
          <w:b/>
        </w:rPr>
        <w:t>305</w:t>
      </w:r>
      <w:r w:rsidRPr="00DD363D">
        <w:rPr>
          <w:b/>
        </w:rPr>
        <w:t>)</w:t>
      </w:r>
      <w:r w:rsidRPr="00DD363D">
        <w:rPr>
          <w:b/>
          <w:bCs/>
        </w:rPr>
        <w:t xml:space="preserve"> </w:t>
      </w:r>
    </w:p>
    <w:p w:rsidR="00DD363D" w:rsidRPr="00DD363D" w:rsidRDefault="00DD363D" w:rsidP="006A34B3">
      <w:pPr>
        <w:pStyle w:val="naisf"/>
        <w:spacing w:before="0" w:after="0"/>
        <w:ind w:firstLine="0"/>
      </w:pPr>
    </w:p>
    <w:p w:rsidR="0049050A" w:rsidRPr="00DD363D" w:rsidRDefault="0049050A" w:rsidP="0049050A">
      <w:pPr>
        <w:pStyle w:val="naisf"/>
        <w:spacing w:before="0" w:after="0"/>
        <w:ind w:firstLine="0"/>
        <w:jc w:val="center"/>
        <w:rPr>
          <w:b/>
        </w:rPr>
      </w:pPr>
      <w:r w:rsidRPr="00DD363D">
        <w:rPr>
          <w:b/>
        </w:rPr>
        <w:t>I. Jautājumi, par kuriem saskaņošanā vienošanās nav panākta</w:t>
      </w:r>
    </w:p>
    <w:p w:rsidR="0049050A" w:rsidRPr="00DD363D" w:rsidRDefault="0049050A" w:rsidP="0049050A">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49050A" w:rsidRPr="00DD363D" w:rsidTr="00FC157A">
        <w:tc>
          <w:tcPr>
            <w:tcW w:w="708" w:type="dxa"/>
            <w:tcBorders>
              <w:top w:val="single" w:sz="6" w:space="0" w:color="000000"/>
              <w:left w:val="single" w:sz="6" w:space="0" w:color="000000"/>
              <w:bottom w:val="single" w:sz="6" w:space="0" w:color="000000"/>
              <w:right w:val="single" w:sz="6" w:space="0" w:color="000000"/>
            </w:tcBorders>
            <w:vAlign w:val="center"/>
          </w:tcPr>
          <w:p w:rsidR="0049050A" w:rsidRPr="00DD363D" w:rsidRDefault="0049050A" w:rsidP="00FC157A">
            <w:pPr>
              <w:pStyle w:val="naisc"/>
              <w:spacing w:before="0" w:after="0"/>
            </w:pPr>
            <w:r w:rsidRPr="00DD363D">
              <w:t>Nr. p. k.</w:t>
            </w:r>
          </w:p>
        </w:tc>
        <w:tc>
          <w:tcPr>
            <w:tcW w:w="3086" w:type="dxa"/>
            <w:tcBorders>
              <w:top w:val="single" w:sz="6" w:space="0" w:color="000000"/>
              <w:left w:val="single" w:sz="6" w:space="0" w:color="000000"/>
              <w:bottom w:val="single" w:sz="6" w:space="0" w:color="000000"/>
              <w:right w:val="single" w:sz="6" w:space="0" w:color="000000"/>
            </w:tcBorders>
            <w:vAlign w:val="center"/>
          </w:tcPr>
          <w:p w:rsidR="0049050A" w:rsidRPr="00DD363D" w:rsidRDefault="0049050A" w:rsidP="00FC157A">
            <w:pPr>
              <w:pStyle w:val="naisc"/>
              <w:spacing w:before="0" w:after="0"/>
              <w:ind w:firstLine="12"/>
            </w:pPr>
            <w:r w:rsidRPr="00DD363D">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49050A" w:rsidRPr="00DD363D" w:rsidRDefault="0049050A" w:rsidP="00FC157A">
            <w:pPr>
              <w:pStyle w:val="naisc"/>
              <w:spacing w:before="0" w:after="0"/>
              <w:ind w:right="3"/>
            </w:pPr>
            <w:r w:rsidRPr="00DD363D">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49050A" w:rsidRPr="00DD363D" w:rsidRDefault="0049050A" w:rsidP="00FC157A">
            <w:pPr>
              <w:pStyle w:val="naisc"/>
              <w:spacing w:before="0" w:after="0"/>
              <w:ind w:firstLine="21"/>
            </w:pPr>
            <w:r w:rsidRPr="00DD363D">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49050A" w:rsidRPr="00DD363D" w:rsidRDefault="0049050A" w:rsidP="00FC157A">
            <w:pPr>
              <w:jc w:val="center"/>
            </w:pPr>
            <w:r w:rsidRPr="00DD363D">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49050A" w:rsidRPr="00DD363D" w:rsidRDefault="0049050A" w:rsidP="00FC157A">
            <w:pPr>
              <w:jc w:val="center"/>
            </w:pPr>
            <w:r w:rsidRPr="00DD363D">
              <w:t>Projekta attiecīgā punkta (panta) galīgā redakcija</w:t>
            </w:r>
          </w:p>
        </w:tc>
      </w:tr>
      <w:tr w:rsidR="0049050A" w:rsidRPr="00DD363D" w:rsidTr="00FC157A">
        <w:tc>
          <w:tcPr>
            <w:tcW w:w="708" w:type="dxa"/>
            <w:tcBorders>
              <w:top w:val="single" w:sz="6" w:space="0" w:color="000000"/>
              <w:left w:val="single" w:sz="6" w:space="0" w:color="000000"/>
              <w:bottom w:val="single" w:sz="6" w:space="0" w:color="000000"/>
              <w:right w:val="single" w:sz="6" w:space="0" w:color="000000"/>
            </w:tcBorders>
          </w:tcPr>
          <w:p w:rsidR="0049050A" w:rsidRPr="00DD363D" w:rsidRDefault="0049050A" w:rsidP="00FC157A">
            <w:pPr>
              <w:pStyle w:val="naisc"/>
              <w:spacing w:before="0" w:after="0"/>
              <w:rPr>
                <w:sz w:val="20"/>
                <w:szCs w:val="20"/>
              </w:rPr>
            </w:pPr>
            <w:r w:rsidRPr="00DD363D">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49050A" w:rsidRPr="00DD363D" w:rsidRDefault="0049050A" w:rsidP="00FC157A">
            <w:pPr>
              <w:pStyle w:val="naisc"/>
              <w:spacing w:before="0" w:after="0"/>
              <w:ind w:firstLine="720"/>
              <w:rPr>
                <w:sz w:val="20"/>
                <w:szCs w:val="20"/>
              </w:rPr>
            </w:pPr>
            <w:r w:rsidRPr="00DD363D">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49050A" w:rsidRPr="00DD363D" w:rsidRDefault="0049050A" w:rsidP="00FC157A">
            <w:pPr>
              <w:pStyle w:val="naisc"/>
              <w:spacing w:before="0" w:after="0"/>
              <w:ind w:firstLine="720"/>
              <w:rPr>
                <w:sz w:val="20"/>
                <w:szCs w:val="20"/>
              </w:rPr>
            </w:pPr>
            <w:r w:rsidRPr="00DD363D">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49050A" w:rsidRPr="00DD363D" w:rsidRDefault="0049050A" w:rsidP="00FC157A">
            <w:pPr>
              <w:pStyle w:val="naisc"/>
              <w:spacing w:before="0" w:after="0"/>
              <w:ind w:firstLine="720"/>
              <w:rPr>
                <w:sz w:val="20"/>
                <w:szCs w:val="20"/>
              </w:rPr>
            </w:pPr>
            <w:r w:rsidRPr="00DD363D">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49050A" w:rsidRPr="00DD363D" w:rsidRDefault="0049050A" w:rsidP="00FC157A">
            <w:pPr>
              <w:jc w:val="center"/>
              <w:rPr>
                <w:sz w:val="20"/>
                <w:szCs w:val="20"/>
              </w:rPr>
            </w:pPr>
            <w:r w:rsidRPr="00DD363D">
              <w:rPr>
                <w:sz w:val="20"/>
                <w:szCs w:val="20"/>
              </w:rPr>
              <w:t>5</w:t>
            </w:r>
          </w:p>
        </w:tc>
        <w:tc>
          <w:tcPr>
            <w:tcW w:w="1920" w:type="dxa"/>
            <w:tcBorders>
              <w:top w:val="single" w:sz="4" w:space="0" w:color="auto"/>
              <w:left w:val="single" w:sz="4" w:space="0" w:color="auto"/>
              <w:bottom w:val="single" w:sz="4" w:space="0" w:color="auto"/>
            </w:tcBorders>
          </w:tcPr>
          <w:p w:rsidR="0049050A" w:rsidRPr="00DD363D" w:rsidRDefault="0049050A" w:rsidP="00FC157A">
            <w:pPr>
              <w:jc w:val="center"/>
              <w:rPr>
                <w:sz w:val="20"/>
                <w:szCs w:val="20"/>
              </w:rPr>
            </w:pPr>
            <w:r w:rsidRPr="00DD363D">
              <w:rPr>
                <w:sz w:val="20"/>
                <w:szCs w:val="20"/>
              </w:rPr>
              <w:t>6</w:t>
            </w:r>
          </w:p>
        </w:tc>
      </w:tr>
      <w:tr w:rsidR="00A5557E" w:rsidRPr="00DD363D" w:rsidTr="007E28C9">
        <w:tc>
          <w:tcPr>
            <w:tcW w:w="708" w:type="dxa"/>
            <w:tcBorders>
              <w:left w:val="single" w:sz="6" w:space="0" w:color="000000"/>
              <w:right w:val="single" w:sz="6" w:space="0" w:color="000000"/>
            </w:tcBorders>
          </w:tcPr>
          <w:p w:rsidR="00A5557E" w:rsidRPr="00DD363D" w:rsidRDefault="00A5557E" w:rsidP="00FC157A">
            <w:pPr>
              <w:pStyle w:val="naisc"/>
              <w:spacing w:before="0" w:after="0"/>
              <w:ind w:firstLine="720"/>
            </w:pPr>
          </w:p>
        </w:tc>
        <w:tc>
          <w:tcPr>
            <w:tcW w:w="3086" w:type="dxa"/>
            <w:tcBorders>
              <w:left w:val="single" w:sz="6" w:space="0" w:color="000000"/>
              <w:right w:val="single" w:sz="6" w:space="0" w:color="000000"/>
            </w:tcBorders>
          </w:tcPr>
          <w:p w:rsidR="00A5557E" w:rsidRPr="00DD363D" w:rsidRDefault="00A5557E" w:rsidP="0049050A"/>
        </w:tc>
        <w:tc>
          <w:tcPr>
            <w:tcW w:w="3118" w:type="dxa"/>
            <w:tcBorders>
              <w:left w:val="single" w:sz="6" w:space="0" w:color="000000"/>
              <w:right w:val="single" w:sz="6" w:space="0" w:color="000000"/>
            </w:tcBorders>
          </w:tcPr>
          <w:p w:rsidR="00A5557E" w:rsidRPr="00DD363D" w:rsidRDefault="00A5557E" w:rsidP="0049050A">
            <w:pPr>
              <w:jc w:val="both"/>
            </w:pPr>
          </w:p>
        </w:tc>
        <w:tc>
          <w:tcPr>
            <w:tcW w:w="2977" w:type="dxa"/>
            <w:tcBorders>
              <w:left w:val="single" w:sz="6" w:space="0" w:color="000000"/>
              <w:right w:val="single" w:sz="6" w:space="0" w:color="000000"/>
            </w:tcBorders>
          </w:tcPr>
          <w:p w:rsidR="00A5557E" w:rsidRPr="00DD363D" w:rsidRDefault="00A5557E" w:rsidP="00FC157A">
            <w:pPr>
              <w:pStyle w:val="naisc"/>
              <w:spacing w:before="0" w:after="0"/>
              <w:jc w:val="left"/>
            </w:pPr>
          </w:p>
        </w:tc>
        <w:tc>
          <w:tcPr>
            <w:tcW w:w="2459" w:type="dxa"/>
            <w:vMerge w:val="restart"/>
            <w:tcBorders>
              <w:top w:val="single" w:sz="4" w:space="0" w:color="auto"/>
              <w:left w:val="single" w:sz="4" w:space="0" w:color="auto"/>
              <w:right w:val="single" w:sz="4" w:space="0" w:color="auto"/>
            </w:tcBorders>
          </w:tcPr>
          <w:p w:rsidR="00A5557E" w:rsidRPr="00DD363D" w:rsidRDefault="00A5557E" w:rsidP="00FC157A">
            <w:pPr>
              <w:jc w:val="both"/>
            </w:pPr>
            <w:r w:rsidRPr="00DD363D">
              <w:t xml:space="preserve"> </w:t>
            </w:r>
          </w:p>
        </w:tc>
        <w:tc>
          <w:tcPr>
            <w:tcW w:w="1920" w:type="dxa"/>
            <w:vMerge w:val="restart"/>
            <w:tcBorders>
              <w:top w:val="single" w:sz="4" w:space="0" w:color="auto"/>
              <w:left w:val="single" w:sz="4" w:space="0" w:color="auto"/>
            </w:tcBorders>
          </w:tcPr>
          <w:p w:rsidR="00A5557E" w:rsidRPr="00DD363D" w:rsidRDefault="00A5557E" w:rsidP="00FC157A"/>
        </w:tc>
      </w:tr>
      <w:tr w:rsidR="00A5557E" w:rsidRPr="00DD363D" w:rsidTr="00A5557E">
        <w:trPr>
          <w:trHeight w:val="80"/>
        </w:trPr>
        <w:tc>
          <w:tcPr>
            <w:tcW w:w="708" w:type="dxa"/>
            <w:tcBorders>
              <w:left w:val="single" w:sz="6" w:space="0" w:color="000000"/>
              <w:bottom w:val="single" w:sz="4" w:space="0" w:color="auto"/>
              <w:right w:val="single" w:sz="6" w:space="0" w:color="000000"/>
            </w:tcBorders>
          </w:tcPr>
          <w:p w:rsidR="00A5557E" w:rsidRPr="00DD363D" w:rsidRDefault="00A5557E" w:rsidP="00FC157A">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A5557E" w:rsidRPr="00DD363D" w:rsidRDefault="00A5557E" w:rsidP="0049050A"/>
        </w:tc>
        <w:tc>
          <w:tcPr>
            <w:tcW w:w="3118" w:type="dxa"/>
            <w:tcBorders>
              <w:left w:val="single" w:sz="6" w:space="0" w:color="000000"/>
              <w:bottom w:val="single" w:sz="4" w:space="0" w:color="auto"/>
              <w:right w:val="single" w:sz="6" w:space="0" w:color="000000"/>
            </w:tcBorders>
          </w:tcPr>
          <w:p w:rsidR="00A5557E" w:rsidRPr="00DD363D" w:rsidRDefault="00A5557E" w:rsidP="0049050A">
            <w:pPr>
              <w:jc w:val="both"/>
            </w:pPr>
          </w:p>
        </w:tc>
        <w:tc>
          <w:tcPr>
            <w:tcW w:w="2977" w:type="dxa"/>
            <w:tcBorders>
              <w:left w:val="single" w:sz="6" w:space="0" w:color="000000"/>
              <w:bottom w:val="single" w:sz="4" w:space="0" w:color="auto"/>
              <w:right w:val="single" w:sz="6" w:space="0" w:color="000000"/>
            </w:tcBorders>
          </w:tcPr>
          <w:p w:rsidR="00A5557E" w:rsidRPr="00DD363D" w:rsidRDefault="00A5557E" w:rsidP="00FC157A">
            <w:pPr>
              <w:pStyle w:val="naisc"/>
              <w:spacing w:before="0" w:after="0"/>
              <w:jc w:val="left"/>
            </w:pPr>
          </w:p>
        </w:tc>
        <w:tc>
          <w:tcPr>
            <w:tcW w:w="2459" w:type="dxa"/>
            <w:vMerge/>
            <w:tcBorders>
              <w:left w:val="single" w:sz="4" w:space="0" w:color="auto"/>
              <w:bottom w:val="single" w:sz="4" w:space="0" w:color="auto"/>
              <w:right w:val="single" w:sz="4" w:space="0" w:color="auto"/>
            </w:tcBorders>
          </w:tcPr>
          <w:p w:rsidR="00A5557E" w:rsidRPr="00DD363D" w:rsidRDefault="00A5557E" w:rsidP="00FC157A">
            <w:pPr>
              <w:jc w:val="both"/>
            </w:pPr>
          </w:p>
        </w:tc>
        <w:tc>
          <w:tcPr>
            <w:tcW w:w="1920" w:type="dxa"/>
            <w:vMerge/>
            <w:tcBorders>
              <w:left w:val="single" w:sz="4" w:space="0" w:color="auto"/>
              <w:bottom w:val="single" w:sz="4" w:space="0" w:color="auto"/>
            </w:tcBorders>
          </w:tcPr>
          <w:p w:rsidR="00A5557E" w:rsidRPr="00DD363D" w:rsidRDefault="00A5557E" w:rsidP="00FC157A"/>
        </w:tc>
      </w:tr>
    </w:tbl>
    <w:p w:rsidR="0049050A" w:rsidRPr="00DD363D" w:rsidRDefault="0049050A" w:rsidP="0049050A">
      <w:pPr>
        <w:pStyle w:val="naisf"/>
        <w:spacing w:before="0" w:after="0"/>
        <w:ind w:firstLine="0"/>
        <w:rPr>
          <w:b/>
        </w:rPr>
      </w:pPr>
    </w:p>
    <w:p w:rsidR="0049050A" w:rsidRPr="00DD363D" w:rsidRDefault="0049050A" w:rsidP="0049050A">
      <w:pPr>
        <w:pStyle w:val="naisf"/>
        <w:spacing w:before="0" w:after="0"/>
        <w:ind w:firstLine="0"/>
        <w:rPr>
          <w:b/>
        </w:rPr>
      </w:pPr>
      <w:r w:rsidRPr="00DD363D">
        <w:rPr>
          <w:b/>
        </w:rPr>
        <w:t xml:space="preserve">Informācija par </w:t>
      </w:r>
      <w:proofErr w:type="spellStart"/>
      <w:r w:rsidRPr="00DD363D">
        <w:rPr>
          <w:b/>
        </w:rPr>
        <w:t>starpministriju</w:t>
      </w:r>
      <w:proofErr w:type="spellEnd"/>
      <w:r w:rsidRPr="00DD363D">
        <w:rPr>
          <w:b/>
        </w:rPr>
        <w:t xml:space="preserve"> (starpinstitūciju) sanāksmi vai elektronisko saskaņošanu</w:t>
      </w:r>
    </w:p>
    <w:p w:rsidR="0049050A" w:rsidRPr="00DD363D" w:rsidRDefault="0049050A" w:rsidP="0049050A">
      <w:pPr>
        <w:pStyle w:val="naisf"/>
        <w:spacing w:before="0" w:after="0"/>
        <w:ind w:firstLine="0"/>
        <w:rPr>
          <w:b/>
        </w:rPr>
      </w:pPr>
    </w:p>
    <w:tbl>
      <w:tblPr>
        <w:tblW w:w="16116" w:type="dxa"/>
        <w:tblLook w:val="00A0" w:firstRow="1" w:lastRow="0" w:firstColumn="1" w:lastColumn="0" w:noHBand="0" w:noVBand="0"/>
      </w:tblPr>
      <w:tblGrid>
        <w:gridCol w:w="5841"/>
        <w:gridCol w:w="8315"/>
        <w:gridCol w:w="61"/>
        <w:gridCol w:w="176"/>
        <w:gridCol w:w="1481"/>
        <w:gridCol w:w="242"/>
      </w:tblGrid>
      <w:tr w:rsidR="000405FC" w:rsidRPr="00DD363D" w:rsidTr="000405FC">
        <w:trPr>
          <w:gridAfter w:val="3"/>
          <w:wAfter w:w="1914" w:type="dxa"/>
        </w:trPr>
        <w:tc>
          <w:tcPr>
            <w:tcW w:w="5886" w:type="dxa"/>
          </w:tcPr>
          <w:p w:rsidR="0049050A" w:rsidRPr="00DD363D" w:rsidRDefault="0049050A" w:rsidP="00FC157A">
            <w:pPr>
              <w:pStyle w:val="naisf"/>
              <w:spacing w:before="0" w:after="0"/>
              <w:ind w:firstLine="0"/>
            </w:pPr>
            <w:r w:rsidRPr="00DD363D">
              <w:t>Datums</w:t>
            </w:r>
          </w:p>
        </w:tc>
        <w:tc>
          <w:tcPr>
            <w:tcW w:w="8316" w:type="dxa"/>
            <w:gridSpan w:val="2"/>
            <w:tcBorders>
              <w:bottom w:val="single" w:sz="4" w:space="0" w:color="auto"/>
            </w:tcBorders>
          </w:tcPr>
          <w:p w:rsidR="0049050A" w:rsidRPr="00DD363D" w:rsidRDefault="0049050A" w:rsidP="000405FC">
            <w:pPr>
              <w:pStyle w:val="NormalWeb"/>
              <w:spacing w:before="0" w:beforeAutospacing="0" w:after="0" w:afterAutospacing="0"/>
              <w:ind w:left="1734" w:hanging="1734"/>
            </w:pPr>
          </w:p>
        </w:tc>
      </w:tr>
      <w:tr w:rsidR="000405FC" w:rsidRPr="00DD363D" w:rsidTr="000405FC">
        <w:trPr>
          <w:gridAfter w:val="3"/>
          <w:wAfter w:w="1914" w:type="dxa"/>
        </w:trPr>
        <w:tc>
          <w:tcPr>
            <w:tcW w:w="5886" w:type="dxa"/>
          </w:tcPr>
          <w:p w:rsidR="0049050A" w:rsidRPr="00DD363D" w:rsidRDefault="0049050A" w:rsidP="00FC157A">
            <w:pPr>
              <w:pStyle w:val="naisf"/>
              <w:spacing w:before="0" w:after="0"/>
              <w:ind w:firstLine="0"/>
            </w:pPr>
          </w:p>
        </w:tc>
        <w:tc>
          <w:tcPr>
            <w:tcW w:w="8316" w:type="dxa"/>
            <w:gridSpan w:val="2"/>
            <w:tcBorders>
              <w:top w:val="single" w:sz="4" w:space="0" w:color="auto"/>
            </w:tcBorders>
          </w:tcPr>
          <w:p w:rsidR="0049050A" w:rsidRPr="00DD363D" w:rsidRDefault="0049050A" w:rsidP="000405FC">
            <w:pPr>
              <w:pStyle w:val="NormalWeb"/>
              <w:spacing w:before="0" w:beforeAutospacing="0" w:after="0" w:afterAutospacing="0"/>
              <w:ind w:left="-3795" w:right="1879"/>
            </w:pPr>
          </w:p>
        </w:tc>
      </w:tr>
      <w:tr w:rsidR="000405FC" w:rsidRPr="00DD363D" w:rsidTr="000405FC">
        <w:trPr>
          <w:gridAfter w:val="3"/>
          <w:wAfter w:w="1914" w:type="dxa"/>
        </w:trPr>
        <w:tc>
          <w:tcPr>
            <w:tcW w:w="5886" w:type="dxa"/>
          </w:tcPr>
          <w:p w:rsidR="0049050A" w:rsidRPr="00DD363D" w:rsidRDefault="0049050A" w:rsidP="00FC157A">
            <w:pPr>
              <w:pStyle w:val="naiskr"/>
              <w:spacing w:before="0" w:after="0"/>
            </w:pPr>
            <w:r w:rsidRPr="00DD363D">
              <w:t>Saskaņošanas dalībnieki</w:t>
            </w:r>
          </w:p>
        </w:tc>
        <w:tc>
          <w:tcPr>
            <w:tcW w:w="8316" w:type="dxa"/>
            <w:gridSpan w:val="2"/>
          </w:tcPr>
          <w:p w:rsidR="00563B17" w:rsidRPr="00DD363D" w:rsidRDefault="00563B17" w:rsidP="000D2FDA">
            <w:pPr>
              <w:pStyle w:val="NormalWeb"/>
              <w:spacing w:before="0" w:beforeAutospacing="0" w:after="0" w:afterAutospacing="0"/>
            </w:pPr>
            <w:r>
              <w:t xml:space="preserve">Tieslietu ministrija, Aizsardzības ministrija, Ārlietu ministrija, </w:t>
            </w:r>
            <w:proofErr w:type="spellStart"/>
            <w:r>
              <w:t>Iekšlietu</w:t>
            </w:r>
            <w:proofErr w:type="spellEnd"/>
            <w:r>
              <w:t xml:space="preserve"> ministriju, Labklājības ministrija, </w:t>
            </w:r>
            <w:r w:rsidRPr="00563B17">
              <w:t>Latvijas Darba devēju konfederācija, Latvijas Brīvo arodbiedrību savienība un Neatkarīgo muitnieku arodbiedrība</w:t>
            </w:r>
          </w:p>
        </w:tc>
      </w:tr>
      <w:tr w:rsidR="000405FC" w:rsidRPr="00DD363D" w:rsidTr="000405FC">
        <w:trPr>
          <w:gridAfter w:val="3"/>
          <w:wAfter w:w="1914" w:type="dxa"/>
        </w:trPr>
        <w:tc>
          <w:tcPr>
            <w:tcW w:w="5886" w:type="dxa"/>
          </w:tcPr>
          <w:p w:rsidR="0049050A" w:rsidRPr="00DD363D" w:rsidRDefault="0049050A" w:rsidP="00FC157A">
            <w:pPr>
              <w:pStyle w:val="naiskr"/>
              <w:spacing w:before="0" w:after="0"/>
              <w:ind w:firstLine="720"/>
            </w:pPr>
            <w:r w:rsidRPr="00DD363D">
              <w:t>  </w:t>
            </w:r>
          </w:p>
        </w:tc>
        <w:tc>
          <w:tcPr>
            <w:tcW w:w="8316" w:type="dxa"/>
            <w:gridSpan w:val="2"/>
            <w:tcBorders>
              <w:top w:val="single" w:sz="6" w:space="0" w:color="000000"/>
              <w:bottom w:val="single" w:sz="6" w:space="0" w:color="000000"/>
            </w:tcBorders>
          </w:tcPr>
          <w:p w:rsidR="0049050A" w:rsidRPr="00DD363D" w:rsidRDefault="0049050A" w:rsidP="000405FC">
            <w:pPr>
              <w:pStyle w:val="naiskr"/>
              <w:spacing w:before="0" w:after="0"/>
            </w:pPr>
          </w:p>
        </w:tc>
      </w:tr>
      <w:tr w:rsidR="000405FC" w:rsidRPr="00DD363D" w:rsidTr="000405FC">
        <w:trPr>
          <w:trHeight w:val="285"/>
        </w:trPr>
        <w:tc>
          <w:tcPr>
            <w:tcW w:w="5886" w:type="dxa"/>
          </w:tcPr>
          <w:p w:rsidR="0049050A" w:rsidRPr="00DD363D" w:rsidRDefault="0049050A" w:rsidP="00FC157A">
            <w:pPr>
              <w:pStyle w:val="naiskr"/>
              <w:spacing w:before="0" w:after="0"/>
            </w:pPr>
          </w:p>
        </w:tc>
        <w:tc>
          <w:tcPr>
            <w:tcW w:w="9988" w:type="dxa"/>
            <w:gridSpan w:val="4"/>
          </w:tcPr>
          <w:p w:rsidR="0049050A" w:rsidRPr="00DD363D" w:rsidRDefault="0049050A" w:rsidP="00FC157A">
            <w:pPr>
              <w:pStyle w:val="naiskr"/>
              <w:spacing w:before="0" w:after="0"/>
              <w:ind w:firstLine="720"/>
            </w:pPr>
          </w:p>
        </w:tc>
        <w:tc>
          <w:tcPr>
            <w:tcW w:w="242" w:type="dxa"/>
          </w:tcPr>
          <w:p w:rsidR="0049050A" w:rsidRPr="00DD363D" w:rsidRDefault="0049050A" w:rsidP="00FC157A">
            <w:pPr>
              <w:pStyle w:val="naiskr"/>
              <w:spacing w:before="0" w:after="0"/>
              <w:ind w:firstLine="12"/>
            </w:pPr>
          </w:p>
        </w:tc>
      </w:tr>
      <w:tr w:rsidR="000405FC" w:rsidRPr="00DD363D" w:rsidTr="000405FC">
        <w:trPr>
          <w:gridAfter w:val="2"/>
          <w:wAfter w:w="1738" w:type="dxa"/>
          <w:trHeight w:val="285"/>
        </w:trPr>
        <w:tc>
          <w:tcPr>
            <w:tcW w:w="5886" w:type="dxa"/>
          </w:tcPr>
          <w:p w:rsidR="000405FC" w:rsidRDefault="0049050A" w:rsidP="00FC157A">
            <w:pPr>
              <w:pStyle w:val="naiskr"/>
              <w:spacing w:before="0" w:after="0"/>
            </w:pPr>
            <w:r w:rsidRPr="00DD363D">
              <w:t xml:space="preserve">Saskaņošanas dalībnieki izskatīja šādu ministriju (citu </w:t>
            </w:r>
          </w:p>
          <w:p w:rsidR="0049050A" w:rsidRPr="00DD363D" w:rsidRDefault="0049050A" w:rsidP="00FC157A">
            <w:pPr>
              <w:pStyle w:val="naiskr"/>
              <w:spacing w:before="0" w:after="0"/>
            </w:pPr>
            <w:r w:rsidRPr="00DD363D">
              <w:t>institūciju) iebildumus</w:t>
            </w:r>
          </w:p>
        </w:tc>
        <w:tc>
          <w:tcPr>
            <w:tcW w:w="8256" w:type="dxa"/>
          </w:tcPr>
          <w:p w:rsidR="0049050A" w:rsidRDefault="0049050A" w:rsidP="00FC157A">
            <w:pPr>
              <w:pStyle w:val="naiskr"/>
              <w:spacing w:before="0" w:after="0"/>
            </w:pPr>
          </w:p>
          <w:p w:rsidR="000405FC" w:rsidRPr="00DD363D" w:rsidRDefault="000405FC" w:rsidP="000405FC">
            <w:pPr>
              <w:pStyle w:val="naiskr"/>
              <w:spacing w:before="0" w:after="0"/>
              <w:ind w:right="-855"/>
            </w:pPr>
            <w:r>
              <w:t>______________________________________________________________________</w:t>
            </w:r>
          </w:p>
        </w:tc>
        <w:tc>
          <w:tcPr>
            <w:tcW w:w="236" w:type="dxa"/>
            <w:gridSpan w:val="2"/>
          </w:tcPr>
          <w:p w:rsidR="0049050A" w:rsidRPr="00DD363D" w:rsidRDefault="0049050A" w:rsidP="000405FC">
            <w:pPr>
              <w:pStyle w:val="naiskr"/>
              <w:spacing w:before="0" w:after="0"/>
              <w:ind w:right="-133"/>
            </w:pPr>
          </w:p>
        </w:tc>
      </w:tr>
      <w:tr w:rsidR="000405FC" w:rsidRPr="00DD363D" w:rsidTr="000405FC">
        <w:trPr>
          <w:gridAfter w:val="3"/>
          <w:wAfter w:w="1914" w:type="dxa"/>
        </w:trPr>
        <w:tc>
          <w:tcPr>
            <w:tcW w:w="5886" w:type="dxa"/>
          </w:tcPr>
          <w:p w:rsidR="000405FC" w:rsidRDefault="000405FC" w:rsidP="00FC157A">
            <w:pPr>
              <w:pStyle w:val="naiskr"/>
              <w:spacing w:before="0" w:after="0"/>
            </w:pPr>
          </w:p>
          <w:p w:rsidR="0049050A" w:rsidRPr="00DD363D" w:rsidRDefault="0049050A" w:rsidP="00FC157A">
            <w:pPr>
              <w:pStyle w:val="naiskr"/>
              <w:spacing w:before="0" w:after="0"/>
            </w:pPr>
            <w:r w:rsidRPr="00DD363D">
              <w:t>Ministrijas (citas institūcijas), kuras nav ieradušās uz sanāksmi vai kuras nav atbildējušas uz uzaicinājumu piedalīties elektroniskajā saskaņošanā</w:t>
            </w:r>
          </w:p>
        </w:tc>
        <w:tc>
          <w:tcPr>
            <w:tcW w:w="8316" w:type="dxa"/>
            <w:gridSpan w:val="2"/>
          </w:tcPr>
          <w:p w:rsidR="0049050A" w:rsidRPr="000405FC" w:rsidRDefault="000405FC" w:rsidP="00FC157A">
            <w:pPr>
              <w:pStyle w:val="naiskr"/>
              <w:spacing w:before="0" w:after="0"/>
            </w:pPr>
            <w:r w:rsidRPr="000405FC">
              <w:t>____________________________________________________________________</w:t>
            </w:r>
          </w:p>
        </w:tc>
      </w:tr>
      <w:tr w:rsidR="000405FC" w:rsidRPr="00DD363D" w:rsidTr="000405FC">
        <w:trPr>
          <w:gridAfter w:val="3"/>
          <w:wAfter w:w="1914" w:type="dxa"/>
        </w:trPr>
        <w:tc>
          <w:tcPr>
            <w:tcW w:w="5886" w:type="dxa"/>
          </w:tcPr>
          <w:p w:rsidR="0049050A" w:rsidRPr="00DD363D" w:rsidRDefault="0049050A" w:rsidP="00FC157A">
            <w:pPr>
              <w:pStyle w:val="naiskr"/>
              <w:spacing w:before="0" w:after="0"/>
              <w:ind w:firstLine="720"/>
            </w:pPr>
            <w:r w:rsidRPr="00DD363D">
              <w:t>  </w:t>
            </w:r>
          </w:p>
        </w:tc>
        <w:tc>
          <w:tcPr>
            <w:tcW w:w="8316" w:type="dxa"/>
            <w:gridSpan w:val="2"/>
            <w:tcBorders>
              <w:top w:val="single" w:sz="6" w:space="0" w:color="000000"/>
              <w:bottom w:val="single" w:sz="6" w:space="0" w:color="000000"/>
            </w:tcBorders>
          </w:tcPr>
          <w:p w:rsidR="0049050A" w:rsidRPr="00DD363D" w:rsidRDefault="00384336" w:rsidP="00E72960">
            <w:pPr>
              <w:pStyle w:val="naiskr"/>
              <w:spacing w:before="0" w:after="0"/>
            </w:pPr>
            <w:r>
              <w:t xml:space="preserve">Labklājības ministrija, </w:t>
            </w:r>
            <w:r w:rsidRPr="00563B17">
              <w:t>Latvijas Darba devēju konfederācija, Latvijas Brīvo arodbiedrību savienība un Neatkarīgo muitnieku arodbiedrība</w:t>
            </w:r>
          </w:p>
        </w:tc>
      </w:tr>
      <w:tr w:rsidR="000405FC" w:rsidRPr="00DD363D" w:rsidTr="000405FC">
        <w:trPr>
          <w:gridAfter w:val="5"/>
          <w:wAfter w:w="10230" w:type="dxa"/>
        </w:trPr>
        <w:tc>
          <w:tcPr>
            <w:tcW w:w="5886" w:type="dxa"/>
          </w:tcPr>
          <w:p w:rsidR="0049050A" w:rsidRPr="00DD363D" w:rsidRDefault="0049050A" w:rsidP="00FC157A">
            <w:pPr>
              <w:pStyle w:val="naiskr"/>
              <w:spacing w:before="0" w:after="0"/>
              <w:ind w:firstLine="720"/>
            </w:pPr>
            <w:r w:rsidRPr="00DD363D">
              <w:t>  </w:t>
            </w:r>
          </w:p>
        </w:tc>
      </w:tr>
    </w:tbl>
    <w:p w:rsidR="0049050A" w:rsidRDefault="0049050A" w:rsidP="000405FC">
      <w:pPr>
        <w:pStyle w:val="naisf"/>
        <w:spacing w:before="0" w:after="0"/>
        <w:ind w:firstLine="0"/>
        <w:rPr>
          <w:b/>
        </w:rPr>
      </w:pPr>
    </w:p>
    <w:p w:rsidR="000405FC" w:rsidRDefault="000405FC" w:rsidP="000405FC">
      <w:pPr>
        <w:pStyle w:val="naisf"/>
        <w:spacing w:before="0" w:after="0"/>
        <w:ind w:firstLine="0"/>
        <w:rPr>
          <w:b/>
        </w:rPr>
      </w:pPr>
    </w:p>
    <w:p w:rsidR="0049050A" w:rsidRDefault="0049050A" w:rsidP="00184479">
      <w:pPr>
        <w:pStyle w:val="naisf"/>
        <w:spacing w:before="0" w:after="0"/>
        <w:ind w:firstLine="0"/>
        <w:jc w:val="center"/>
        <w:rPr>
          <w:b/>
        </w:rPr>
      </w:pPr>
    </w:p>
    <w:p w:rsidR="007B4C0F" w:rsidRPr="00DD363D" w:rsidRDefault="000405FC" w:rsidP="000405FC">
      <w:pPr>
        <w:pStyle w:val="naisf"/>
        <w:spacing w:before="0" w:after="0"/>
        <w:ind w:firstLine="0"/>
        <w:jc w:val="center"/>
        <w:rPr>
          <w:b/>
        </w:rPr>
      </w:pPr>
      <w:r>
        <w:rPr>
          <w:b/>
        </w:rPr>
        <w:t>II. </w:t>
      </w:r>
      <w:r w:rsidR="00134188" w:rsidRPr="00DD363D">
        <w:rPr>
          <w:b/>
        </w:rPr>
        <w:t>Jautājumi, par kuriem saskaņošanā vienošan</w:t>
      </w:r>
      <w:r w:rsidR="00144622" w:rsidRPr="00DD363D">
        <w:rPr>
          <w:b/>
        </w:rPr>
        <w:t>ā</w:t>
      </w:r>
      <w:r w:rsidR="00134188" w:rsidRPr="00DD363D">
        <w:rPr>
          <w:b/>
        </w:rPr>
        <w:t>s ir panākta</w:t>
      </w:r>
    </w:p>
    <w:p w:rsidR="007B4C0F" w:rsidRPr="00DD363D" w:rsidRDefault="007B4C0F" w:rsidP="00DB7395">
      <w:pPr>
        <w:pStyle w:val="naisf"/>
        <w:spacing w:before="0" w:after="0"/>
        <w:ind w:firstLine="720"/>
      </w:pPr>
    </w:p>
    <w:tbl>
      <w:tblPr>
        <w:tblW w:w="15310" w:type="dxa"/>
        <w:tblInd w:w="-11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567"/>
        <w:gridCol w:w="1701"/>
        <w:gridCol w:w="1150"/>
        <w:gridCol w:w="2819"/>
        <w:gridCol w:w="2970"/>
        <w:gridCol w:w="574"/>
        <w:gridCol w:w="4820"/>
      </w:tblGrid>
      <w:tr w:rsidR="00FB29A6" w:rsidRPr="00DD363D" w:rsidTr="00DD1581">
        <w:tc>
          <w:tcPr>
            <w:tcW w:w="709" w:type="dxa"/>
            <w:tcBorders>
              <w:top w:val="single" w:sz="6" w:space="0" w:color="000000"/>
              <w:left w:val="single" w:sz="6" w:space="0" w:color="000000"/>
              <w:bottom w:val="single" w:sz="6" w:space="0" w:color="000000"/>
              <w:right w:val="single" w:sz="6" w:space="0" w:color="000000"/>
            </w:tcBorders>
            <w:vAlign w:val="center"/>
          </w:tcPr>
          <w:p w:rsidR="00FB29A6" w:rsidRPr="00DD363D" w:rsidRDefault="00FB29A6" w:rsidP="009623BC">
            <w:pPr>
              <w:pStyle w:val="naisc"/>
              <w:spacing w:before="0" w:after="0"/>
            </w:pPr>
            <w:r w:rsidRPr="00DD363D">
              <w:t>Nr. p.k.</w:t>
            </w:r>
          </w:p>
        </w:tc>
        <w:tc>
          <w:tcPr>
            <w:tcW w:w="2268" w:type="dxa"/>
            <w:gridSpan w:val="2"/>
            <w:tcBorders>
              <w:top w:val="single" w:sz="6" w:space="0" w:color="000000"/>
              <w:left w:val="single" w:sz="6" w:space="0" w:color="000000"/>
              <w:bottom w:val="single" w:sz="6" w:space="0" w:color="000000"/>
              <w:right w:val="single" w:sz="6" w:space="0" w:color="000000"/>
            </w:tcBorders>
            <w:vAlign w:val="center"/>
          </w:tcPr>
          <w:p w:rsidR="00FB29A6" w:rsidRPr="00DD363D" w:rsidRDefault="00FB29A6" w:rsidP="009623BC">
            <w:pPr>
              <w:pStyle w:val="naisc"/>
              <w:spacing w:before="0" w:after="0"/>
              <w:ind w:firstLine="12"/>
            </w:pPr>
            <w:r w:rsidRPr="00DD363D">
              <w:t>Saskaņošanai nosūtītā projekta redakcija (konkrēta punkta (panta) redakcija)</w:t>
            </w:r>
          </w:p>
        </w:tc>
        <w:tc>
          <w:tcPr>
            <w:tcW w:w="3969" w:type="dxa"/>
            <w:gridSpan w:val="2"/>
            <w:tcBorders>
              <w:top w:val="single" w:sz="6" w:space="0" w:color="000000"/>
              <w:left w:val="single" w:sz="6" w:space="0" w:color="000000"/>
              <w:bottom w:val="single" w:sz="6" w:space="0" w:color="000000"/>
              <w:right w:val="single" w:sz="6" w:space="0" w:color="000000"/>
            </w:tcBorders>
            <w:vAlign w:val="center"/>
          </w:tcPr>
          <w:p w:rsidR="00FB29A6" w:rsidRPr="00DD363D" w:rsidRDefault="00FB29A6" w:rsidP="009623BC">
            <w:pPr>
              <w:pStyle w:val="naisc"/>
              <w:spacing w:before="0" w:after="0"/>
              <w:ind w:right="3"/>
            </w:pPr>
            <w:r w:rsidRPr="00DD363D">
              <w:t>Atzinumā norādītais ministrijas (citas institūcijas) iebildums, kā arī saskaņošanā papildus izteiktais iebildums par projekta konkrēto punktu (pantu)</w:t>
            </w:r>
          </w:p>
        </w:tc>
        <w:tc>
          <w:tcPr>
            <w:tcW w:w="3544" w:type="dxa"/>
            <w:gridSpan w:val="2"/>
            <w:tcBorders>
              <w:top w:val="single" w:sz="6" w:space="0" w:color="000000"/>
              <w:left w:val="single" w:sz="6" w:space="0" w:color="000000"/>
              <w:bottom w:val="single" w:sz="6" w:space="0" w:color="000000"/>
              <w:right w:val="single" w:sz="6" w:space="0" w:color="000000"/>
            </w:tcBorders>
            <w:vAlign w:val="center"/>
          </w:tcPr>
          <w:p w:rsidR="00FB29A6" w:rsidRPr="00DD363D" w:rsidRDefault="00FB29A6" w:rsidP="009623BC">
            <w:pPr>
              <w:pStyle w:val="naisc"/>
              <w:spacing w:before="0" w:after="0"/>
              <w:ind w:firstLine="21"/>
            </w:pPr>
            <w:r w:rsidRPr="00DD363D">
              <w:t>Atbildīgās ministrijas norāde par to, ka iebildums ir ņemts vērā, vai informācija par saskaņošanā panākto alternatīvo risinājumu</w:t>
            </w:r>
          </w:p>
        </w:tc>
        <w:tc>
          <w:tcPr>
            <w:tcW w:w="4820" w:type="dxa"/>
            <w:tcBorders>
              <w:top w:val="single" w:sz="4" w:space="0" w:color="auto"/>
              <w:left w:val="single" w:sz="4" w:space="0" w:color="auto"/>
              <w:bottom w:val="single" w:sz="4" w:space="0" w:color="auto"/>
            </w:tcBorders>
            <w:vAlign w:val="center"/>
          </w:tcPr>
          <w:p w:rsidR="00FB29A6" w:rsidRDefault="00FB29A6" w:rsidP="008E5575">
            <w:pPr>
              <w:jc w:val="center"/>
            </w:pPr>
            <w:r w:rsidRPr="00DD363D">
              <w:t>Projekta attiecīgā punkta (panta)</w:t>
            </w:r>
          </w:p>
          <w:p w:rsidR="00FB29A6" w:rsidRPr="00DD363D" w:rsidRDefault="00FB29A6" w:rsidP="008E5575">
            <w:pPr>
              <w:jc w:val="center"/>
            </w:pPr>
            <w:r w:rsidRPr="00DD363D">
              <w:t>galīgā redakcija</w:t>
            </w:r>
          </w:p>
        </w:tc>
      </w:tr>
      <w:tr w:rsidR="00FB29A6" w:rsidRPr="00DD363D" w:rsidTr="00DD1581">
        <w:tc>
          <w:tcPr>
            <w:tcW w:w="709" w:type="dxa"/>
            <w:tcBorders>
              <w:top w:val="single" w:sz="6" w:space="0" w:color="000000"/>
              <w:left w:val="single" w:sz="6" w:space="0" w:color="000000"/>
              <w:bottom w:val="single" w:sz="6" w:space="0" w:color="000000"/>
              <w:right w:val="single" w:sz="6" w:space="0" w:color="000000"/>
            </w:tcBorders>
          </w:tcPr>
          <w:p w:rsidR="00FB29A6" w:rsidRPr="00DD363D" w:rsidRDefault="00FB29A6" w:rsidP="003B71E0">
            <w:pPr>
              <w:pStyle w:val="naisc"/>
              <w:spacing w:before="0" w:after="0"/>
              <w:rPr>
                <w:sz w:val="20"/>
                <w:szCs w:val="20"/>
              </w:rPr>
            </w:pPr>
            <w:r w:rsidRPr="00DD363D">
              <w:rPr>
                <w:sz w:val="20"/>
                <w:szCs w:val="20"/>
              </w:rPr>
              <w:t>1</w:t>
            </w:r>
          </w:p>
        </w:tc>
        <w:tc>
          <w:tcPr>
            <w:tcW w:w="2268" w:type="dxa"/>
            <w:gridSpan w:val="2"/>
            <w:tcBorders>
              <w:top w:val="single" w:sz="6" w:space="0" w:color="000000"/>
              <w:left w:val="single" w:sz="6" w:space="0" w:color="000000"/>
              <w:bottom w:val="single" w:sz="6" w:space="0" w:color="000000"/>
              <w:right w:val="single" w:sz="6" w:space="0" w:color="000000"/>
            </w:tcBorders>
          </w:tcPr>
          <w:p w:rsidR="00FB29A6" w:rsidRPr="00DD363D" w:rsidRDefault="00FB29A6" w:rsidP="003B71E0">
            <w:pPr>
              <w:pStyle w:val="naisc"/>
              <w:spacing w:before="0" w:after="0"/>
              <w:ind w:firstLine="720"/>
              <w:rPr>
                <w:sz w:val="20"/>
                <w:szCs w:val="20"/>
              </w:rPr>
            </w:pPr>
            <w:r w:rsidRPr="00DD363D">
              <w:rPr>
                <w:sz w:val="20"/>
                <w:szCs w:val="20"/>
              </w:rPr>
              <w:t>2</w:t>
            </w:r>
          </w:p>
        </w:tc>
        <w:tc>
          <w:tcPr>
            <w:tcW w:w="3969" w:type="dxa"/>
            <w:gridSpan w:val="2"/>
            <w:tcBorders>
              <w:top w:val="single" w:sz="6" w:space="0" w:color="000000"/>
              <w:left w:val="single" w:sz="6" w:space="0" w:color="000000"/>
              <w:bottom w:val="single" w:sz="6" w:space="0" w:color="000000"/>
              <w:right w:val="single" w:sz="6" w:space="0" w:color="000000"/>
            </w:tcBorders>
          </w:tcPr>
          <w:p w:rsidR="00FB29A6" w:rsidRPr="00DD363D" w:rsidRDefault="00FB29A6" w:rsidP="003B71E0">
            <w:pPr>
              <w:pStyle w:val="naisc"/>
              <w:spacing w:before="0" w:after="0"/>
              <w:ind w:firstLine="720"/>
              <w:rPr>
                <w:sz w:val="20"/>
                <w:szCs w:val="20"/>
              </w:rPr>
            </w:pPr>
            <w:r w:rsidRPr="00DD363D">
              <w:rPr>
                <w:sz w:val="20"/>
                <w:szCs w:val="20"/>
              </w:rPr>
              <w:t>3</w:t>
            </w:r>
          </w:p>
        </w:tc>
        <w:tc>
          <w:tcPr>
            <w:tcW w:w="3544" w:type="dxa"/>
            <w:gridSpan w:val="2"/>
            <w:tcBorders>
              <w:top w:val="single" w:sz="6" w:space="0" w:color="000000"/>
              <w:left w:val="single" w:sz="6" w:space="0" w:color="000000"/>
              <w:bottom w:val="single" w:sz="6" w:space="0" w:color="000000"/>
              <w:right w:val="single" w:sz="6" w:space="0" w:color="000000"/>
            </w:tcBorders>
          </w:tcPr>
          <w:p w:rsidR="00FB29A6" w:rsidRPr="00DD363D" w:rsidRDefault="00FB29A6" w:rsidP="003B71E0">
            <w:pPr>
              <w:pStyle w:val="naisc"/>
              <w:spacing w:before="0" w:after="0"/>
              <w:ind w:firstLine="720"/>
              <w:rPr>
                <w:sz w:val="20"/>
                <w:szCs w:val="20"/>
              </w:rPr>
            </w:pPr>
            <w:r w:rsidRPr="00DD363D">
              <w:rPr>
                <w:sz w:val="20"/>
                <w:szCs w:val="20"/>
              </w:rPr>
              <w:t>4</w:t>
            </w:r>
          </w:p>
        </w:tc>
        <w:tc>
          <w:tcPr>
            <w:tcW w:w="4820" w:type="dxa"/>
            <w:tcBorders>
              <w:top w:val="single" w:sz="4" w:space="0" w:color="auto"/>
              <w:left w:val="single" w:sz="4" w:space="0" w:color="auto"/>
              <w:bottom w:val="single" w:sz="4" w:space="0" w:color="auto"/>
            </w:tcBorders>
          </w:tcPr>
          <w:p w:rsidR="00FB29A6" w:rsidRPr="00DD363D" w:rsidRDefault="00FB29A6" w:rsidP="003B71E0">
            <w:pPr>
              <w:jc w:val="center"/>
              <w:rPr>
                <w:sz w:val="20"/>
                <w:szCs w:val="20"/>
              </w:rPr>
            </w:pPr>
            <w:r w:rsidRPr="00DD363D">
              <w:rPr>
                <w:sz w:val="20"/>
                <w:szCs w:val="20"/>
              </w:rPr>
              <w:t>5</w:t>
            </w:r>
          </w:p>
        </w:tc>
      </w:tr>
      <w:tr w:rsidR="00FB29A6" w:rsidRPr="00DD363D" w:rsidTr="00DD1581">
        <w:tc>
          <w:tcPr>
            <w:tcW w:w="709" w:type="dxa"/>
            <w:tcBorders>
              <w:top w:val="single" w:sz="6" w:space="0" w:color="000000"/>
              <w:left w:val="single" w:sz="6" w:space="0" w:color="000000"/>
              <w:bottom w:val="single" w:sz="6" w:space="0" w:color="000000"/>
              <w:right w:val="single" w:sz="6" w:space="0" w:color="000000"/>
            </w:tcBorders>
          </w:tcPr>
          <w:p w:rsidR="00FB29A6" w:rsidRPr="00FB29A6" w:rsidRDefault="00FB29A6" w:rsidP="003B71E0">
            <w:pPr>
              <w:pStyle w:val="naisc"/>
              <w:spacing w:before="0" w:after="0"/>
            </w:pPr>
            <w:r w:rsidRPr="00FB29A6">
              <w:t>1.</w:t>
            </w:r>
          </w:p>
        </w:tc>
        <w:tc>
          <w:tcPr>
            <w:tcW w:w="2268" w:type="dxa"/>
            <w:gridSpan w:val="2"/>
            <w:tcBorders>
              <w:top w:val="single" w:sz="6" w:space="0" w:color="000000"/>
              <w:left w:val="single" w:sz="6" w:space="0" w:color="000000"/>
              <w:bottom w:val="single" w:sz="6" w:space="0" w:color="000000"/>
              <w:right w:val="single" w:sz="6" w:space="0" w:color="000000"/>
            </w:tcBorders>
          </w:tcPr>
          <w:p w:rsidR="00FB29A6" w:rsidRPr="00FB29A6" w:rsidRDefault="00FB29A6" w:rsidP="001F5918">
            <w:pPr>
              <w:pStyle w:val="naisc"/>
              <w:spacing w:before="0" w:after="0"/>
              <w:jc w:val="left"/>
            </w:pPr>
            <w:r w:rsidRPr="00FB29A6">
              <w:t>Likumprojekts “Grozījums Streiku likumā”</w:t>
            </w:r>
          </w:p>
        </w:tc>
        <w:tc>
          <w:tcPr>
            <w:tcW w:w="3969" w:type="dxa"/>
            <w:gridSpan w:val="2"/>
            <w:tcBorders>
              <w:top w:val="single" w:sz="6" w:space="0" w:color="000000"/>
              <w:left w:val="single" w:sz="6" w:space="0" w:color="000000"/>
              <w:bottom w:val="single" w:sz="6" w:space="0" w:color="000000"/>
              <w:right w:val="single" w:sz="6" w:space="0" w:color="000000"/>
            </w:tcBorders>
          </w:tcPr>
          <w:p w:rsidR="00FB29A6" w:rsidRPr="00FB29A6" w:rsidRDefault="00FB29A6" w:rsidP="001F5918">
            <w:pPr>
              <w:pStyle w:val="naisc"/>
              <w:jc w:val="both"/>
              <w:rPr>
                <w:b/>
              </w:rPr>
            </w:pPr>
            <w:r w:rsidRPr="00FB29A6">
              <w:rPr>
                <w:b/>
              </w:rPr>
              <w:t>Neatkarīgā muitnieku arodbiedrība 10.08.2020. iebildums</w:t>
            </w:r>
          </w:p>
          <w:p w:rsidR="00FB29A6" w:rsidRPr="00FB29A6" w:rsidRDefault="00FB29A6" w:rsidP="001F5918">
            <w:pPr>
              <w:pStyle w:val="naisc"/>
              <w:spacing w:before="0" w:after="0"/>
              <w:jc w:val="both"/>
            </w:pPr>
            <w:r w:rsidRPr="00FB29A6">
              <w:t>Neatkarīgā muitnieku arodbiedrība (turpmāk – arodbiedrība) ir izskatījusi Valsts ieņēmumu dienesta (turpmāk – VID) izstrādāto likumprojektu “Grozījumi Streiku likumā” un tā sākotnējās ietekmes novērtējuma ziņojumu (anotāciju) (VID 29.07.2020. vēstule Nr. 9.5-6/493 “Par likumprojekta saskaņošanu”) un informē, ka neatbalsta sagatavoto projektu pēc būtības, jo tas samazina Satversmē garantētās tiesības</w:t>
            </w:r>
            <w:r w:rsidRPr="00FB29A6">
              <w:rPr>
                <w:rStyle w:val="FootnoteReference"/>
              </w:rPr>
              <w:footnoteReference w:id="1"/>
            </w:r>
            <w:r w:rsidRPr="00FB29A6">
              <w:t>. Arodbiedrības ieskatā likumdošanā</w:t>
            </w:r>
            <w:r w:rsidRPr="00FB29A6">
              <w:rPr>
                <w:rStyle w:val="FootnoteReference"/>
              </w:rPr>
              <w:footnoteReference w:id="2"/>
            </w:r>
            <w:r w:rsidRPr="00FB29A6">
              <w:t xml:space="preserve"> paredzētie mehānismi ir pietiekami, lai nepieļautu sabiedriskās kārtības, indivīda drošības un ekonomiskās  labklājības apdraudējumu muitas </w:t>
            </w:r>
            <w:r w:rsidRPr="00FB29A6">
              <w:lastRenderedPageBreak/>
              <w:t>amatpersonu streika gadījumā. Turklāt, kā norādīts sākotnējās ietekmes novērtējuma ziņojumā (anotācijā), citās Eiropas Savienības dalībvalstīs ir atšķirīga pieredze attiecībā uz aizliegumu vai daļēju aizliegumu streikot muitas amatpersonām. Ir jāņem vērā arī fakts, ka vēsturiski izstrādājot Streiku likumu likumdevējam neradās šaubas, ka muitas amatpersonas būtu iekļaujamas starp sabiedrībai nepieciešamajiem dienestiem, kur darba pārtraukšana radītu draudus valsts drošībai, visas sabiedrības, kādas iedzīvotāju grupas vai atsevišķu indivīdu drošībai, veselībai vai dzīvībai</w:t>
            </w:r>
            <w:r w:rsidRPr="00FB29A6">
              <w:rPr>
                <w:rStyle w:val="FootnoteReference"/>
              </w:rPr>
              <w:footnoteReference w:id="3"/>
            </w:r>
            <w:r w:rsidRPr="00FB29A6">
              <w:t>.</w:t>
            </w:r>
          </w:p>
        </w:tc>
        <w:tc>
          <w:tcPr>
            <w:tcW w:w="3544" w:type="dxa"/>
            <w:gridSpan w:val="2"/>
            <w:tcBorders>
              <w:top w:val="single" w:sz="6" w:space="0" w:color="000000"/>
              <w:left w:val="single" w:sz="6" w:space="0" w:color="000000"/>
              <w:bottom w:val="single" w:sz="6" w:space="0" w:color="000000"/>
              <w:right w:val="single" w:sz="6" w:space="0" w:color="000000"/>
            </w:tcBorders>
          </w:tcPr>
          <w:p w:rsidR="00FB29A6" w:rsidRPr="00DC4579" w:rsidRDefault="00FB29A6" w:rsidP="00702696">
            <w:pPr>
              <w:pStyle w:val="naisc"/>
              <w:jc w:val="both"/>
            </w:pPr>
            <w:r w:rsidRPr="00B10721">
              <w:rPr>
                <w:b/>
              </w:rPr>
              <w:lastRenderedPageBreak/>
              <w:t xml:space="preserve">Iebildums </w:t>
            </w:r>
            <w:r w:rsidR="00E85D80">
              <w:rPr>
                <w:b/>
              </w:rPr>
              <w:t xml:space="preserve">pie </w:t>
            </w:r>
            <w:r w:rsidR="00794874">
              <w:rPr>
                <w:b/>
              </w:rPr>
              <w:t xml:space="preserve">likumprojekta </w:t>
            </w:r>
            <w:r w:rsidR="00313672">
              <w:rPr>
                <w:b/>
              </w:rPr>
              <w:t xml:space="preserve">atkārtotas </w:t>
            </w:r>
            <w:r w:rsidR="00E85D80">
              <w:rPr>
                <w:b/>
              </w:rPr>
              <w:t>saskaņošanas</w:t>
            </w:r>
            <w:r w:rsidR="00AF1CA1">
              <w:rPr>
                <w:b/>
              </w:rPr>
              <w:t xml:space="preserve"> </w:t>
            </w:r>
            <w:r w:rsidRPr="00B10721">
              <w:rPr>
                <w:b/>
              </w:rPr>
              <w:t xml:space="preserve">nav </w:t>
            </w:r>
            <w:r w:rsidR="00AF1CA1">
              <w:rPr>
                <w:b/>
              </w:rPr>
              <w:t>uzturēts</w:t>
            </w:r>
            <w:r w:rsidR="00DC4579" w:rsidRPr="00DC4579">
              <w:t>.</w:t>
            </w:r>
          </w:p>
          <w:p w:rsidR="00774203" w:rsidRDefault="00BB6FA5" w:rsidP="001F5918">
            <w:pPr>
              <w:pStyle w:val="naisc"/>
              <w:spacing w:before="0" w:after="0"/>
              <w:jc w:val="both"/>
            </w:pPr>
            <w:r>
              <w:t>Līdz ar to</w:t>
            </w:r>
            <w:r w:rsidR="00C92C27" w:rsidRPr="003940EB">
              <w:t xml:space="preserve"> </w:t>
            </w:r>
            <w:r w:rsidR="003C22B4">
              <w:t xml:space="preserve">precizētais likumprojekts </w:t>
            </w:r>
            <w:r w:rsidR="00173F36">
              <w:t>ar Neatkarīgo</w:t>
            </w:r>
            <w:r w:rsidR="00173F36" w:rsidRPr="00173F36">
              <w:t xml:space="preserve"> muitnieku arodbiedrīb</w:t>
            </w:r>
            <w:r w:rsidR="00173F36">
              <w:t>u</w:t>
            </w:r>
            <w:r w:rsidR="00173F36" w:rsidRPr="00173F36">
              <w:t xml:space="preserve"> </w:t>
            </w:r>
            <w:r w:rsidRPr="003940EB">
              <w:t>atb</w:t>
            </w:r>
            <w:r w:rsidR="003C22B4">
              <w:t>ilstoši Ministru kabineta 2009.</w:t>
            </w:r>
            <w:r w:rsidRPr="003940EB">
              <w:t>gada 7.aprīļa noteikumu Nr.300 “Ministru kabineta kārtības rullis” 9</w:t>
            </w:r>
            <w:r>
              <w:t>9</w:t>
            </w:r>
            <w:r w:rsidRPr="003940EB">
              <w:t>.punktam</w:t>
            </w:r>
            <w:r w:rsidR="003C22B4">
              <w:t xml:space="preserve"> </w:t>
            </w:r>
            <w:r w:rsidR="003C22B4" w:rsidRPr="003C22B4">
              <w:t>uzskatāms par saskaņotu (ar noklusējuma saskaņojumu)</w:t>
            </w:r>
            <w:r w:rsidR="00C92C27" w:rsidRPr="003940EB">
              <w:t>, tādējādi iebildums uzskatāms par atsaukt</w:t>
            </w:r>
            <w:r w:rsidR="00C92C27">
              <w:t>u.</w:t>
            </w:r>
          </w:p>
          <w:p w:rsidR="00F42981" w:rsidRPr="00FB29A6" w:rsidRDefault="00F42981" w:rsidP="001F5918">
            <w:pPr>
              <w:pStyle w:val="naisc"/>
              <w:spacing w:before="0" w:after="0"/>
              <w:jc w:val="both"/>
            </w:pPr>
          </w:p>
        </w:tc>
        <w:tc>
          <w:tcPr>
            <w:tcW w:w="4820" w:type="dxa"/>
            <w:tcBorders>
              <w:top w:val="single" w:sz="4" w:space="0" w:color="auto"/>
              <w:left w:val="single" w:sz="4" w:space="0" w:color="auto"/>
              <w:bottom w:val="single" w:sz="4" w:space="0" w:color="auto"/>
            </w:tcBorders>
          </w:tcPr>
          <w:p w:rsidR="00FB29A6" w:rsidRPr="003940EB" w:rsidRDefault="00FB29A6" w:rsidP="0087472C">
            <w:pPr>
              <w:jc w:val="both"/>
            </w:pPr>
          </w:p>
        </w:tc>
      </w:tr>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C91F57">
            <w:pPr>
              <w:pStyle w:val="naisc"/>
              <w:spacing w:before="0" w:after="0"/>
              <w:ind w:firstLine="720"/>
            </w:pPr>
            <w:r w:rsidRPr="00DD363D">
              <w:t>1</w:t>
            </w:r>
          </w:p>
          <w:p w:rsidR="00FB29A6" w:rsidRPr="00DD363D" w:rsidRDefault="00FB29A6" w:rsidP="00C91F57">
            <w:pPr>
              <w:jc w:val="center"/>
            </w:pPr>
            <w:r>
              <w:t>2</w:t>
            </w:r>
            <w:r w:rsidRPr="00DD363D">
              <w:t>.</w:t>
            </w:r>
          </w:p>
        </w:tc>
        <w:tc>
          <w:tcPr>
            <w:tcW w:w="2268" w:type="dxa"/>
            <w:gridSpan w:val="2"/>
            <w:tcBorders>
              <w:left w:val="single" w:sz="6" w:space="0" w:color="000000"/>
              <w:bottom w:val="single" w:sz="4" w:space="0" w:color="auto"/>
              <w:right w:val="single" w:sz="6" w:space="0" w:color="000000"/>
            </w:tcBorders>
          </w:tcPr>
          <w:p w:rsidR="00FB29A6" w:rsidRDefault="00FB29A6" w:rsidP="00280FA1">
            <w:pPr>
              <w:jc w:val="both"/>
            </w:pPr>
          </w:p>
          <w:p w:rsidR="00FB29A6" w:rsidRPr="00DD363D" w:rsidRDefault="00FB29A6" w:rsidP="00280FA1">
            <w:pPr>
              <w:jc w:val="both"/>
            </w:pPr>
            <w:r w:rsidRPr="00DD363D">
              <w:t>Likumprojekta anotācija</w:t>
            </w:r>
          </w:p>
          <w:p w:rsidR="00FB29A6" w:rsidRPr="00DD363D" w:rsidRDefault="00FB29A6" w:rsidP="000C46F7">
            <w:pPr>
              <w:pStyle w:val="naisc"/>
              <w:spacing w:before="0" w:after="0"/>
              <w:ind w:firstLine="720"/>
              <w:jc w:val="both"/>
            </w:pPr>
          </w:p>
        </w:tc>
        <w:tc>
          <w:tcPr>
            <w:tcW w:w="3969" w:type="dxa"/>
            <w:gridSpan w:val="2"/>
            <w:tcBorders>
              <w:left w:val="single" w:sz="6" w:space="0" w:color="000000"/>
              <w:bottom w:val="single" w:sz="4" w:space="0" w:color="auto"/>
              <w:right w:val="single" w:sz="6" w:space="0" w:color="000000"/>
            </w:tcBorders>
          </w:tcPr>
          <w:p w:rsidR="00FB29A6" w:rsidRPr="00DD363D" w:rsidRDefault="00FB29A6" w:rsidP="005D0063">
            <w:pPr>
              <w:jc w:val="both"/>
              <w:rPr>
                <w:b/>
              </w:rPr>
            </w:pPr>
          </w:p>
          <w:p w:rsidR="00FB29A6" w:rsidRPr="00DD363D" w:rsidRDefault="00FB29A6" w:rsidP="005D0063">
            <w:pPr>
              <w:jc w:val="both"/>
              <w:rPr>
                <w:b/>
              </w:rPr>
            </w:pPr>
            <w:r w:rsidRPr="00DD363D">
              <w:rPr>
                <w:b/>
              </w:rPr>
              <w:t>Labklājības ministrijas 24.04.2020. iebildums</w:t>
            </w:r>
          </w:p>
          <w:p w:rsidR="00FB29A6" w:rsidRPr="00DD363D" w:rsidRDefault="00FB29A6" w:rsidP="00B43F7F">
            <w:pPr>
              <w:jc w:val="both"/>
              <w:rPr>
                <w:lang w:eastAsia="en-US"/>
              </w:rPr>
            </w:pPr>
            <w:r w:rsidRPr="00DD363D">
              <w:rPr>
                <w:lang w:eastAsia="en-US"/>
              </w:rPr>
              <w:t xml:space="preserve">Streiku likuma 17. pants paredz, ka streika laikā minimālā apjomā ir jānodrošina darbs sabiedrībai nepieciešamos dienestos un uzņēmumus, kuru pārtraukšana radītu draudus valsts drošībai, visas sabiedrības, kādas iedzīvotāju grupas vai atsevišķu indivīdu drošībai, veselībai vai dzīvībai. </w:t>
            </w:r>
          </w:p>
          <w:p w:rsidR="00FB29A6" w:rsidRPr="00DD363D" w:rsidRDefault="00FB29A6" w:rsidP="00B43F7F">
            <w:pPr>
              <w:jc w:val="both"/>
              <w:rPr>
                <w:lang w:eastAsia="en-US"/>
              </w:rPr>
            </w:pPr>
            <w:r w:rsidRPr="00DD363D">
              <w:rPr>
                <w:lang w:eastAsia="en-US"/>
              </w:rPr>
              <w:t xml:space="preserve">Starptautiskās Darba organizācijas </w:t>
            </w:r>
            <w:r w:rsidRPr="00DD363D">
              <w:rPr>
                <w:lang w:eastAsia="en-US"/>
              </w:rPr>
              <w:lastRenderedPageBreak/>
              <w:t>Biedrošanās brīvības komiteja savos lēmumos ir uzsvērusi, ka tiesības streikot ir viens no būtiskākajiem veidiem, kā darbinieki un viņus pārstāvošās organizācijas var aizstāvēt savas ekonomiskās un sociālās intereses. Vienlaikus valstu nacionālajos normatīvajos aktos var tikt paredzēti atsevišķi gadījumi, kad tiesības streikot tiek ierobežotas, nosakot, ka streika laikā noteiktu jomu uzņēmumos jānodrošina darbs minimālā apjomā. Ierobežojumu noteikšana atbilstoši Starptautiskās Darba organizācijas Biedrošanās brīvības komitejas ekspertu secinājumiem būtu pieļaujama šādos gadījumos:</w:t>
            </w:r>
          </w:p>
          <w:p w:rsidR="00FB29A6" w:rsidRPr="00DD363D" w:rsidRDefault="00FB29A6" w:rsidP="00CD68B1">
            <w:pPr>
              <w:numPr>
                <w:ilvl w:val="0"/>
                <w:numId w:val="6"/>
              </w:numPr>
              <w:spacing w:after="120"/>
              <w:ind w:left="0" w:firstLine="0"/>
              <w:jc w:val="both"/>
              <w:rPr>
                <w:lang w:eastAsia="en-US"/>
              </w:rPr>
            </w:pPr>
            <w:r w:rsidRPr="00DD363D">
              <w:rPr>
                <w:lang w:eastAsia="en-US"/>
              </w:rPr>
              <w:t>konkrētā pakalpojuma nesniegšana var radīt dzīvības, kā arī personas, sabiedrības daļas vai visas sabiedrības kopumā drošības vai veselības draudus;</w:t>
            </w:r>
          </w:p>
          <w:p w:rsidR="00FB29A6" w:rsidRPr="00DD363D" w:rsidRDefault="00FB29A6" w:rsidP="00CD68B1">
            <w:pPr>
              <w:numPr>
                <w:ilvl w:val="0"/>
                <w:numId w:val="6"/>
              </w:numPr>
              <w:spacing w:after="120"/>
              <w:ind w:left="0" w:firstLine="0"/>
              <w:jc w:val="both"/>
              <w:rPr>
                <w:lang w:eastAsia="en-US"/>
              </w:rPr>
            </w:pPr>
            <w:r w:rsidRPr="00DD363D">
              <w:rPr>
                <w:lang w:eastAsia="en-US"/>
              </w:rPr>
              <w:t>konkrētā pakalpojuma nesniegšana noteiktā laika periodā var radīt akūtu nacionālo krīzi, kas līdz ar to var veicināt sabiedrības normālu dzīves apstākļu apdraudējumu;</w:t>
            </w:r>
          </w:p>
          <w:p w:rsidR="00FB29A6" w:rsidRPr="00DD363D" w:rsidRDefault="00FB29A6" w:rsidP="00AC3FFF">
            <w:pPr>
              <w:jc w:val="both"/>
            </w:pPr>
            <w:r w:rsidRPr="00DD363D">
              <w:rPr>
                <w:lang w:eastAsia="en-US"/>
              </w:rPr>
              <w:t>3) publiskiem pakalpojumiem ir fundamentāla nozīme.</w:t>
            </w:r>
          </w:p>
          <w:p w:rsidR="00FB29A6" w:rsidRPr="00DD363D" w:rsidRDefault="00FB29A6" w:rsidP="005D0063">
            <w:pPr>
              <w:jc w:val="both"/>
            </w:pPr>
            <w:r w:rsidRPr="00DD363D">
              <w:t xml:space="preserve">Atbilstoši minētās Starptautiskās Darba organizācijas komitejas </w:t>
            </w:r>
            <w:r w:rsidRPr="00DD363D">
              <w:lastRenderedPageBreak/>
              <w:t>viedoklim minimālā pakalpojuma nodrošināšana ir jāattiecina tikai uz tām darbībām, kas ir absolūti nepieciešamas, lai garantētu sabiedrības daļas vai sabiedrības kopumā normālu dzīves apstākļu nodrošināšanu. Piekrītot tam, kas jau minēts anotācijā attiecībā uz Valsts ieņēmumu dienesta darbības būtiskumu, lūdzam papildināt anotāciju ar informāciju par to personu loku, uz kurām faktiski attieksies šis ierobežojums, respektīvi, kurām būs jāsniedz Valsts ieņēmumu dienesta nodrošināto pakalpojumu klāsts, neskatoties uz to, ka tiek pieteikts streiks.</w:t>
            </w:r>
          </w:p>
          <w:p w:rsidR="00FB29A6" w:rsidRPr="00DD363D" w:rsidRDefault="00FB29A6" w:rsidP="00EB21F1">
            <w:pPr>
              <w:jc w:val="both"/>
            </w:pPr>
            <w:r w:rsidRPr="00DD363D">
              <w:t>Ievērojot minēto, lūdzam papildināt anotāciju ar informāciju par to personu loku, uz kurām faktiski attieksies šis ierobežojums, respektīvi, kurām būs jāsniedz Valsts ieņēmumu dienesta nodrošināto pakalpojumu klāsts, neskatoties uz to, ka tiek pieteikts streiks.</w:t>
            </w:r>
          </w:p>
        </w:tc>
        <w:tc>
          <w:tcPr>
            <w:tcW w:w="3544" w:type="dxa"/>
            <w:gridSpan w:val="2"/>
            <w:tcBorders>
              <w:left w:val="single" w:sz="6" w:space="0" w:color="000000"/>
              <w:bottom w:val="single" w:sz="4" w:space="0" w:color="auto"/>
              <w:right w:val="single" w:sz="6" w:space="0" w:color="000000"/>
            </w:tcBorders>
          </w:tcPr>
          <w:p w:rsidR="00FB29A6" w:rsidRPr="00DD363D" w:rsidRDefault="00FB29A6" w:rsidP="009D0003">
            <w:pPr>
              <w:spacing w:before="40" w:after="40"/>
              <w:jc w:val="center"/>
              <w:rPr>
                <w:b/>
              </w:rPr>
            </w:pPr>
          </w:p>
          <w:p w:rsidR="00FB29A6" w:rsidRPr="00DD363D" w:rsidRDefault="00FB29A6" w:rsidP="009D0003">
            <w:pPr>
              <w:spacing w:before="40" w:after="40"/>
              <w:jc w:val="center"/>
              <w:rPr>
                <w:b/>
              </w:rPr>
            </w:pPr>
            <w:r w:rsidRPr="00DD363D">
              <w:rPr>
                <w:b/>
              </w:rPr>
              <w:t>Iebildums ņemts vērā</w:t>
            </w:r>
          </w:p>
          <w:p w:rsidR="00FB29A6" w:rsidRPr="00DD363D" w:rsidRDefault="00FB29A6" w:rsidP="00594DB0">
            <w:pPr>
              <w:spacing w:before="40" w:after="40"/>
              <w:jc w:val="center"/>
              <w:rPr>
                <w:highlight w:val="yellow"/>
              </w:rPr>
            </w:pPr>
          </w:p>
        </w:tc>
        <w:tc>
          <w:tcPr>
            <w:tcW w:w="4820" w:type="dxa"/>
            <w:tcBorders>
              <w:top w:val="single" w:sz="4" w:space="0" w:color="auto"/>
              <w:left w:val="single" w:sz="4" w:space="0" w:color="auto"/>
              <w:bottom w:val="single" w:sz="4" w:space="0" w:color="auto"/>
            </w:tcBorders>
          </w:tcPr>
          <w:p w:rsidR="00FB29A6" w:rsidRPr="00DD363D" w:rsidRDefault="00FB29A6" w:rsidP="00716DE7">
            <w:pPr>
              <w:jc w:val="both"/>
            </w:pPr>
          </w:p>
          <w:p w:rsidR="00FB29A6" w:rsidRPr="00DD363D" w:rsidRDefault="00FB29A6" w:rsidP="00302ECD">
            <w:pPr>
              <w:jc w:val="both"/>
            </w:pPr>
            <w:r w:rsidRPr="00DD363D">
              <w:t>Papildināts likumprojekta anotācijas I</w:t>
            </w:r>
            <w:r>
              <w:t> </w:t>
            </w:r>
            <w:r w:rsidRPr="00DD363D">
              <w:t>sadaļas 2. punkts ar 9.</w:t>
            </w:r>
            <w:r>
              <w:t> </w:t>
            </w:r>
            <w:r w:rsidRPr="00DD363D">
              <w:t>un 10.</w:t>
            </w:r>
            <w:r>
              <w:t> </w:t>
            </w:r>
            <w:r w:rsidRPr="00DD363D">
              <w:t>rindkopu (3. </w:t>
            </w:r>
            <w:proofErr w:type="spellStart"/>
            <w:r w:rsidRPr="00DD363D">
              <w:t>lp</w:t>
            </w:r>
            <w:proofErr w:type="spellEnd"/>
            <w:r w:rsidRPr="00DD363D">
              <w:t>.) šādā redakcijā:</w:t>
            </w:r>
          </w:p>
          <w:p w:rsidR="00FB29A6" w:rsidRPr="00DD363D" w:rsidRDefault="00FB29A6" w:rsidP="00825F1D">
            <w:pPr>
              <w:jc w:val="both"/>
            </w:pPr>
            <w:r w:rsidRPr="00DD363D">
              <w:t>“Šobrīd regulējums paredz</w:t>
            </w:r>
            <w:r>
              <w:t>:</w:t>
            </w:r>
            <w:r w:rsidRPr="00DD363D">
              <w:t xml:space="preserve"> lai novērstu draudus valsts, visas sabiedrības, kādas iedzīvotāju grupas vai atsevišķu indivīdu drošībai, veselībai vai dzīvībai, streikot ir aizliegts Valsts policijas darbiniekiem, kuri veic līdzīgas funkcijas kā Valsts ieņēmumu dienesta Nodokļu un muitas policijas pārvaldes nodarbinātie, un Valsts robežsardzes nodarbinātajiem, kuri veic pienākumus uz </w:t>
            </w:r>
            <w:r w:rsidRPr="00DD363D">
              <w:lastRenderedPageBreak/>
              <w:t xml:space="preserve">valsts robežas līdzās Muitas pārvaldē nodarbinātajiem. </w:t>
            </w:r>
          </w:p>
          <w:p w:rsidR="00FB29A6" w:rsidRPr="00DD363D" w:rsidRDefault="00FB29A6" w:rsidP="00716DE7">
            <w:pPr>
              <w:jc w:val="both"/>
            </w:pPr>
            <w:r w:rsidRPr="00DD363D">
              <w:t>Ņemot vērā, ka Nodokļu un muitas policijas pārvaldes un Muitas pārvaldes struktūrvienībās nodarbinātie veic funkcijas, kuru pārtraukšana var radīt draudus valsts, visas sabiedrības, kādas iedzīvotāju grupas vai atsevišķu indivīdu drošībai, veselībai vai dzīvībai, streika laikā minimālā apjomā nepieciešams nodrošināt Valsts ieņēmumu dienesta Nodokļu un muitas policijas pārvaldes un Muitas pārvaldes noteiktu struktūrvienību darbu. Pirms streika Valsts ieņēmumu dienesta vadība vienotos ar streiku komiteju un patstāvīgo struktūrvienību vadītājiem par darba nodrošināšanu minimālā apjomā konkrētajās struktūrvienībās (minimālo nodarbināto skaitu darba nodrošināšanai).”</w:t>
            </w:r>
          </w:p>
          <w:p w:rsidR="00FB29A6" w:rsidRPr="00DD363D" w:rsidRDefault="00FB29A6" w:rsidP="005D0063">
            <w:pPr>
              <w:jc w:val="both"/>
            </w:pPr>
          </w:p>
        </w:tc>
      </w:tr>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40743E">
            <w:pPr>
              <w:pStyle w:val="naisc"/>
              <w:spacing w:before="0" w:after="0"/>
            </w:pPr>
            <w:bookmarkStart w:id="1" w:name="_Hlk42521307"/>
            <w:r>
              <w:lastRenderedPageBreak/>
              <w:t>3</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5D0063">
            <w:pPr>
              <w:jc w:val="both"/>
            </w:pPr>
            <w:r w:rsidRPr="00DD363D">
              <w:t>Likumprojekta anotācija</w:t>
            </w:r>
          </w:p>
          <w:p w:rsidR="00FB29A6" w:rsidRPr="00DD363D" w:rsidRDefault="00FB29A6" w:rsidP="005D0063">
            <w:pPr>
              <w:jc w:val="both"/>
            </w:pPr>
          </w:p>
        </w:tc>
        <w:tc>
          <w:tcPr>
            <w:tcW w:w="3969" w:type="dxa"/>
            <w:gridSpan w:val="2"/>
            <w:tcBorders>
              <w:left w:val="single" w:sz="6" w:space="0" w:color="000000"/>
              <w:bottom w:val="single" w:sz="4" w:space="0" w:color="auto"/>
              <w:right w:val="single" w:sz="6" w:space="0" w:color="000000"/>
            </w:tcBorders>
          </w:tcPr>
          <w:p w:rsidR="00FB29A6" w:rsidRPr="00DD363D" w:rsidRDefault="00FB29A6" w:rsidP="00D22744">
            <w:pPr>
              <w:pStyle w:val="naisc"/>
              <w:spacing w:before="0" w:after="0"/>
              <w:jc w:val="both"/>
              <w:rPr>
                <w:b/>
              </w:rPr>
            </w:pPr>
            <w:r w:rsidRPr="00DD363D">
              <w:rPr>
                <w:b/>
              </w:rPr>
              <w:t>Tieslietu ministrijas 24.04.2020. iebildums</w:t>
            </w:r>
          </w:p>
          <w:p w:rsidR="00FB29A6" w:rsidRPr="00DD363D" w:rsidRDefault="00FB29A6" w:rsidP="00B43F7F">
            <w:pPr>
              <w:pStyle w:val="ListParagraph"/>
              <w:tabs>
                <w:tab w:val="left" w:pos="993"/>
              </w:tabs>
              <w:suppressAutoHyphens/>
              <w:spacing w:after="0" w:line="240" w:lineRule="auto"/>
              <w:ind w:left="0"/>
              <w:jc w:val="both"/>
              <w:rPr>
                <w:rFonts w:ascii="Times New Roman" w:hAnsi="Times New Roman"/>
                <w:sz w:val="24"/>
                <w:szCs w:val="24"/>
              </w:rPr>
            </w:pPr>
            <w:r w:rsidRPr="00DD363D">
              <w:rPr>
                <w:rFonts w:ascii="Times New Roman" w:hAnsi="Times New Roman"/>
                <w:sz w:val="24"/>
                <w:szCs w:val="24"/>
              </w:rPr>
              <w:t xml:space="preserve">Projekts paredz iekļaut </w:t>
            </w:r>
            <w:r w:rsidRPr="00DD363D">
              <w:rPr>
                <w:rFonts w:ascii="Times New Roman" w:hAnsi="Times New Roman"/>
                <w:sz w:val="24"/>
                <w:szCs w:val="24"/>
                <w:lang w:eastAsia="lv-LV"/>
              </w:rPr>
              <w:t>Valsts ieņēmumu dienestu</w:t>
            </w:r>
            <w:r w:rsidRPr="00DD363D">
              <w:rPr>
                <w:rFonts w:ascii="Times New Roman" w:hAnsi="Times New Roman"/>
                <w:sz w:val="24"/>
                <w:szCs w:val="24"/>
              </w:rPr>
              <w:t xml:space="preserve"> (turpmāk – VID) </w:t>
            </w:r>
            <w:r w:rsidRPr="00DD363D">
              <w:rPr>
                <w:rFonts w:ascii="Times New Roman" w:hAnsi="Times New Roman"/>
                <w:sz w:val="24"/>
                <w:szCs w:val="24"/>
                <w:lang w:eastAsia="lv-LV"/>
              </w:rPr>
              <w:t xml:space="preserve">sabiedrībai nepieciešamo dienestu sarakstā, tādējādi faktiski ierobežojot </w:t>
            </w:r>
            <w:r w:rsidRPr="00DD363D">
              <w:rPr>
                <w:rFonts w:ascii="Times New Roman" w:hAnsi="Times New Roman"/>
                <w:sz w:val="24"/>
                <w:szCs w:val="24"/>
              </w:rPr>
              <w:t xml:space="preserve">VID darbinieku tiesības streikot, jo saskaņā ar Streiku likumu sabiedrībai </w:t>
            </w:r>
            <w:r w:rsidRPr="00DD363D">
              <w:rPr>
                <w:rFonts w:ascii="Times New Roman" w:hAnsi="Times New Roman"/>
                <w:sz w:val="24"/>
                <w:szCs w:val="24"/>
              </w:rPr>
              <w:lastRenderedPageBreak/>
              <w:t>nepieciešamajos dienestos streika gadījumā jānodrošina darba turpināšana minimālā apjomā.</w:t>
            </w:r>
          </w:p>
          <w:p w:rsidR="00FB29A6" w:rsidRPr="00DD363D" w:rsidRDefault="00FB29A6" w:rsidP="0000019A">
            <w:pPr>
              <w:pStyle w:val="ListParagraph"/>
              <w:tabs>
                <w:tab w:val="left" w:pos="993"/>
              </w:tabs>
              <w:suppressAutoHyphens/>
              <w:spacing w:after="0" w:line="240" w:lineRule="auto"/>
              <w:ind w:left="0"/>
              <w:jc w:val="both"/>
              <w:rPr>
                <w:rFonts w:ascii="Times New Roman" w:hAnsi="Times New Roman"/>
                <w:sz w:val="24"/>
                <w:szCs w:val="24"/>
              </w:rPr>
            </w:pPr>
            <w:r w:rsidRPr="00DD363D">
              <w:rPr>
                <w:rFonts w:ascii="Times New Roman" w:hAnsi="Times New Roman"/>
                <w:sz w:val="24"/>
                <w:szCs w:val="24"/>
              </w:rPr>
              <w:t>No Streiku likuma 17. panta pirmās daļas izriet, ka par sabiedrībai nepieciešamajiem dienestiem ir uzskatāmi tādi dienesti, kuru darbības pārtraukšana radītu draudus valsts drošībai, visas sabiedrības, kādas iedzīvotāju grupas vai atsevišķu indivīdu drošībai, veselībai vai dzīvībai.</w:t>
            </w:r>
          </w:p>
          <w:p w:rsidR="00FB29A6" w:rsidRPr="00DD363D" w:rsidRDefault="00FB29A6" w:rsidP="0000019A">
            <w:pPr>
              <w:pStyle w:val="ListParagraph"/>
              <w:tabs>
                <w:tab w:val="left" w:pos="993"/>
              </w:tabs>
              <w:suppressAutoHyphens/>
              <w:spacing w:after="0" w:line="240" w:lineRule="auto"/>
              <w:ind w:left="0"/>
              <w:jc w:val="both"/>
              <w:rPr>
                <w:rFonts w:ascii="Times New Roman" w:hAnsi="Times New Roman"/>
                <w:sz w:val="24"/>
                <w:szCs w:val="24"/>
              </w:rPr>
            </w:pPr>
            <w:r w:rsidRPr="00DD363D">
              <w:rPr>
                <w:rFonts w:ascii="Times New Roman" w:hAnsi="Times New Roman"/>
                <w:sz w:val="24"/>
                <w:szCs w:val="24"/>
              </w:rPr>
              <w:t xml:space="preserve">Eiropas Sociālo tiesību komitejas prakses pārskatā skaidrots, ka </w:t>
            </w:r>
            <w:r w:rsidRPr="00DD363D">
              <w:rPr>
                <w:rStyle w:val="word"/>
                <w:rFonts w:ascii="Times New Roman" w:hAnsi="Times New Roman"/>
                <w:color w:val="222222"/>
                <w:sz w:val="24"/>
                <w:szCs w:val="24"/>
              </w:rPr>
              <w:t>tiesības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streikot</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noteiktām</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valsts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amatpersonu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kategorijām var</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tikt</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ierobežotas.</w:t>
            </w:r>
            <w:r w:rsidRPr="00DD363D">
              <w:rPr>
                <w:rFonts w:ascii="Times New Roman" w:hAnsi="Times New Roman"/>
                <w:color w:val="222222"/>
                <w:sz w:val="24"/>
                <w:szCs w:val="24"/>
              </w:rPr>
              <w:t xml:space="preserve"> </w:t>
            </w:r>
            <w:r w:rsidRPr="00DD363D">
              <w:rPr>
                <w:rStyle w:val="word"/>
                <w:rFonts w:ascii="Times New Roman" w:hAnsi="Times New Roman"/>
                <w:color w:val="222222"/>
                <w:sz w:val="24"/>
                <w:szCs w:val="24"/>
              </w:rPr>
              <w:t>Tomēr šie</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ierobežojumi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būtu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jāattiecina</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tikai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uz</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valsts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amatpersonām,</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kuru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pienākumi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un</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funkcijas,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ņemot</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vērā</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to</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raksturu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vai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atbildības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līmeni,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ir</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tieši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saistītas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ar</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valsts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drošību,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vispārējām</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interesēm</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utt</w:t>
            </w:r>
            <w:r w:rsidRPr="00DD363D">
              <w:rPr>
                <w:rFonts w:ascii="Times New Roman" w:hAnsi="Times New Roman"/>
                <w:sz w:val="24"/>
                <w:szCs w:val="24"/>
              </w:rPr>
              <w:t>.</w:t>
            </w:r>
            <w:r w:rsidRPr="00DD363D">
              <w:rPr>
                <w:rStyle w:val="FootnoteReference"/>
                <w:rFonts w:ascii="Times New Roman" w:hAnsi="Times New Roman"/>
                <w:sz w:val="24"/>
                <w:szCs w:val="24"/>
              </w:rPr>
              <w:footnoteReference w:id="4"/>
            </w:r>
          </w:p>
          <w:p w:rsidR="00FB29A6" w:rsidRPr="00DD363D" w:rsidRDefault="00FB29A6" w:rsidP="0000019A">
            <w:pPr>
              <w:pStyle w:val="ListParagraph"/>
              <w:tabs>
                <w:tab w:val="left" w:pos="993"/>
              </w:tabs>
              <w:suppressAutoHyphens/>
              <w:spacing w:after="0" w:line="240" w:lineRule="auto"/>
              <w:ind w:left="0"/>
              <w:jc w:val="both"/>
              <w:rPr>
                <w:rFonts w:ascii="Times New Roman" w:hAnsi="Times New Roman"/>
                <w:sz w:val="24"/>
                <w:szCs w:val="24"/>
              </w:rPr>
            </w:pPr>
            <w:r w:rsidRPr="00DD363D">
              <w:rPr>
                <w:rFonts w:ascii="Times New Roman" w:hAnsi="Times New Roman"/>
                <w:sz w:val="24"/>
                <w:szCs w:val="24"/>
              </w:rPr>
              <w:t>Starptautiskās darba organizācijas tīmekļvietnē ir atrodams skaidrojums, ka par sabiedrībai nepieciešamajiem dienestiem (</w:t>
            </w:r>
            <w:proofErr w:type="spellStart"/>
            <w:r w:rsidRPr="00DD363D">
              <w:rPr>
                <w:rFonts w:ascii="Times New Roman" w:hAnsi="Times New Roman"/>
                <w:i/>
                <w:iCs/>
                <w:sz w:val="24"/>
                <w:szCs w:val="24"/>
              </w:rPr>
              <w:t>essential</w:t>
            </w:r>
            <w:proofErr w:type="spellEnd"/>
            <w:r w:rsidRPr="00DD363D">
              <w:rPr>
                <w:rFonts w:ascii="Times New Roman" w:hAnsi="Times New Roman"/>
                <w:i/>
                <w:iCs/>
                <w:sz w:val="24"/>
                <w:szCs w:val="24"/>
              </w:rPr>
              <w:t xml:space="preserve"> </w:t>
            </w:r>
            <w:proofErr w:type="spellStart"/>
            <w:r w:rsidRPr="00DD363D">
              <w:rPr>
                <w:rFonts w:ascii="Times New Roman" w:hAnsi="Times New Roman"/>
                <w:i/>
                <w:iCs/>
                <w:sz w:val="24"/>
                <w:szCs w:val="24"/>
              </w:rPr>
              <w:t>services</w:t>
            </w:r>
            <w:proofErr w:type="spellEnd"/>
            <w:r w:rsidRPr="00DD363D">
              <w:rPr>
                <w:rFonts w:ascii="Times New Roman" w:hAnsi="Times New Roman"/>
                <w:sz w:val="24"/>
                <w:szCs w:val="24"/>
              </w:rPr>
              <w:t xml:space="preserve">) </w:t>
            </w:r>
            <w:r w:rsidRPr="00DD363D">
              <w:rPr>
                <w:rStyle w:val="word"/>
                <w:rFonts w:ascii="Times New Roman" w:hAnsi="Times New Roman"/>
                <w:color w:val="222222"/>
                <w:sz w:val="24"/>
                <w:szCs w:val="24"/>
              </w:rPr>
              <w:t>var</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uzskatīt:</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slimnīcu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sektoru,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elektroapgādes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pakalpojumus,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ūdensapgādes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pakalpojumus,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telesakaru dienestu,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policiju, bruņotos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lastRenderedPageBreak/>
              <w:t>spēkus,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ugunsdzēsības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dienestus,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valsts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vai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privātā</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cietuma</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pakalpojumus,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pārtikas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piegādi</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skolas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vecuma</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skolēniem, kā arī skolu</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un</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gaisa</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satiksmes</w:t>
            </w:r>
            <w:r w:rsidRPr="00DD363D">
              <w:rPr>
                <w:rStyle w:val="phrase"/>
                <w:rFonts w:ascii="Times New Roman" w:hAnsi="Times New Roman"/>
                <w:color w:val="222222"/>
                <w:sz w:val="24"/>
                <w:szCs w:val="24"/>
              </w:rPr>
              <w:t xml:space="preserve"> </w:t>
            </w:r>
            <w:r w:rsidRPr="00DD363D">
              <w:rPr>
                <w:rStyle w:val="word"/>
                <w:rFonts w:ascii="Times New Roman" w:hAnsi="Times New Roman"/>
                <w:color w:val="222222"/>
                <w:sz w:val="24"/>
                <w:szCs w:val="24"/>
              </w:rPr>
              <w:t xml:space="preserve">vadību. Savukārt, piemēram, </w:t>
            </w:r>
            <w:proofErr w:type="spellStart"/>
            <w:r w:rsidRPr="00DD363D">
              <w:rPr>
                <w:rStyle w:val="word"/>
                <w:rFonts w:ascii="Times New Roman" w:hAnsi="Times New Roman"/>
                <w:color w:val="222222"/>
                <w:sz w:val="24"/>
                <w:szCs w:val="24"/>
              </w:rPr>
              <w:t>datorpakalpojumi</w:t>
            </w:r>
            <w:proofErr w:type="spellEnd"/>
            <w:r w:rsidRPr="00DD363D">
              <w:rPr>
                <w:rStyle w:val="word"/>
                <w:rFonts w:ascii="Times New Roman" w:hAnsi="Times New Roman"/>
                <w:color w:val="222222"/>
                <w:sz w:val="24"/>
                <w:szCs w:val="24"/>
              </w:rPr>
              <w:t xml:space="preserve"> nodokļu iekasēšanai nav uzskatāmi par </w:t>
            </w:r>
            <w:r w:rsidRPr="00DD363D">
              <w:rPr>
                <w:rFonts w:ascii="Times New Roman" w:hAnsi="Times New Roman"/>
                <w:sz w:val="24"/>
                <w:szCs w:val="24"/>
              </w:rPr>
              <w:t>sabiedrībai nepieciešamo dienestu</w:t>
            </w:r>
            <w:r w:rsidRPr="00DD363D">
              <w:rPr>
                <w:rStyle w:val="word"/>
                <w:rFonts w:ascii="Times New Roman" w:hAnsi="Times New Roman"/>
                <w:color w:val="222222"/>
                <w:sz w:val="24"/>
                <w:szCs w:val="24"/>
              </w:rPr>
              <w:t xml:space="preserve"> šī termina striktā nozīmē.</w:t>
            </w:r>
            <w:r w:rsidRPr="00DD363D">
              <w:rPr>
                <w:rStyle w:val="FootnoteReference"/>
                <w:rFonts w:ascii="Times New Roman" w:hAnsi="Times New Roman"/>
                <w:sz w:val="24"/>
                <w:szCs w:val="24"/>
              </w:rPr>
              <w:footnoteReference w:id="5"/>
            </w:r>
          </w:p>
          <w:p w:rsidR="00FB29A6" w:rsidRPr="00DD363D" w:rsidRDefault="00FB29A6" w:rsidP="0094722A">
            <w:pPr>
              <w:pStyle w:val="naisc"/>
              <w:spacing w:before="0" w:after="0"/>
              <w:jc w:val="both"/>
            </w:pPr>
            <w:r w:rsidRPr="00DD363D">
              <w:t>Ievērojot minēto, ierosinām noskaidrot citu valstu praksi attiecībā uz ierobežojumu noteikšanu streikot valsts nodokļu administrācijas darbiniekiem. Kaut arī ir atzīts, ka sabiedrībai nepieciešamo dienestu jēdziens nav absolūts un var būt atkarīgs no katras valsts konkrētajiem apstākļiem</w:t>
            </w:r>
            <w:r w:rsidRPr="00DD363D">
              <w:rPr>
                <w:rStyle w:val="FootnoteReference"/>
              </w:rPr>
              <w:footnoteReference w:id="6"/>
            </w:r>
            <w:r w:rsidRPr="00DD363D">
              <w:t xml:space="preserve">, tomēr, kā uzsvēra Satversmes tiesa, plaša </w:t>
            </w:r>
            <w:proofErr w:type="spellStart"/>
            <w:r w:rsidRPr="00DD363D">
              <w:t>priekšizpēte</w:t>
            </w:r>
            <w:proofErr w:type="spellEnd"/>
            <w:r w:rsidRPr="00DD363D">
              <w:t xml:space="preserve"> tiesību normas izstrādes un pieņemšanas laikā, </w:t>
            </w:r>
            <w:proofErr w:type="spellStart"/>
            <w:r w:rsidRPr="00DD363D">
              <w:t>citastarp</w:t>
            </w:r>
            <w:proofErr w:type="spellEnd"/>
            <w:r w:rsidRPr="00DD363D">
              <w:t xml:space="preserve"> dažādu valstu prakses analīze, var labvēlīgi ietekmēt tiesību normas kvalitāti.</w:t>
            </w:r>
            <w:r w:rsidRPr="00DD363D">
              <w:rPr>
                <w:rStyle w:val="FootnoteReference"/>
              </w:rPr>
              <w:footnoteReference w:id="7"/>
            </w:r>
            <w:r w:rsidRPr="00DD363D">
              <w:rPr>
                <w:b/>
                <w:bCs/>
              </w:rPr>
              <w:t xml:space="preserve"> </w:t>
            </w:r>
            <w:r w:rsidRPr="00DD363D">
              <w:t xml:space="preserve">Turklāt citu valstu prakses izpēte varētu palīdzēt izvērtēt, vai attiecīgais ierobežojums ir sociāli nepieciešams. Attiecīga ierobežojuma neesamība citās valstīs varētu liecināt par to, ka </w:t>
            </w:r>
            <w:r w:rsidRPr="00DD363D">
              <w:lastRenderedPageBreak/>
              <w:t>sabiedriskās intereses var pastāvēt arī bez šāda ierobežojuma.</w:t>
            </w:r>
            <w:r w:rsidRPr="00DD363D">
              <w:rPr>
                <w:rStyle w:val="FootnoteReference"/>
              </w:rPr>
              <w:footnoteReference w:id="8"/>
            </w:r>
          </w:p>
        </w:tc>
        <w:tc>
          <w:tcPr>
            <w:tcW w:w="3544" w:type="dxa"/>
            <w:gridSpan w:val="2"/>
            <w:tcBorders>
              <w:left w:val="single" w:sz="6" w:space="0" w:color="000000"/>
              <w:bottom w:val="single" w:sz="4" w:space="0" w:color="auto"/>
              <w:right w:val="single" w:sz="6" w:space="0" w:color="000000"/>
            </w:tcBorders>
          </w:tcPr>
          <w:p w:rsidR="00FB29A6" w:rsidRPr="00DD363D" w:rsidRDefault="00FB29A6" w:rsidP="00674A79">
            <w:pPr>
              <w:spacing w:before="40" w:after="40"/>
              <w:jc w:val="center"/>
              <w:rPr>
                <w:b/>
              </w:rPr>
            </w:pPr>
            <w:r w:rsidRPr="00DD363D">
              <w:rPr>
                <w:b/>
              </w:rPr>
              <w:lastRenderedPageBreak/>
              <w:t>Iebildums ņemts vērā</w:t>
            </w:r>
          </w:p>
          <w:p w:rsidR="00FB29A6" w:rsidRPr="00DD363D" w:rsidRDefault="00FB29A6" w:rsidP="002021F3">
            <w:pPr>
              <w:spacing w:before="40" w:after="40"/>
              <w:jc w:val="both"/>
              <w:rPr>
                <w:highlight w:val="yellow"/>
              </w:rPr>
            </w:pPr>
          </w:p>
        </w:tc>
        <w:tc>
          <w:tcPr>
            <w:tcW w:w="4820" w:type="dxa"/>
            <w:tcBorders>
              <w:top w:val="single" w:sz="4" w:space="0" w:color="auto"/>
              <w:left w:val="single" w:sz="4" w:space="0" w:color="auto"/>
              <w:bottom w:val="single" w:sz="4" w:space="0" w:color="auto"/>
            </w:tcBorders>
          </w:tcPr>
          <w:p w:rsidR="00FB29A6" w:rsidRPr="00DD363D" w:rsidRDefault="00FB29A6" w:rsidP="00B67D0A">
            <w:pPr>
              <w:jc w:val="both"/>
            </w:pPr>
            <w:r w:rsidRPr="00DD363D">
              <w:t>Papildināts likumprojekta anotācijas I</w:t>
            </w:r>
            <w:r>
              <w:t> </w:t>
            </w:r>
            <w:r w:rsidRPr="00DD363D">
              <w:t>sadaļas 2. punkts ar 19., 20.</w:t>
            </w:r>
            <w:r>
              <w:t> </w:t>
            </w:r>
            <w:r w:rsidRPr="00DD363D">
              <w:t>un 21. rindkopu (6. </w:t>
            </w:r>
            <w:proofErr w:type="spellStart"/>
            <w:r w:rsidRPr="00DD363D">
              <w:t>lp</w:t>
            </w:r>
            <w:proofErr w:type="spellEnd"/>
            <w:r w:rsidRPr="00DD363D">
              <w:t>.) šādā redakcijā: “Turklāt</w:t>
            </w:r>
            <w:r>
              <w:t>,</w:t>
            </w:r>
            <w:r w:rsidRPr="00DD363D">
              <w:t xml:space="preserve"> pētot citu Eiropas </w:t>
            </w:r>
            <w:r>
              <w:t>S</w:t>
            </w:r>
            <w:r w:rsidRPr="00DD363D">
              <w:t>avienības valstu praksi attiecībā uz ierobežojumiem muitas amatpersonām streikot</w:t>
            </w:r>
            <w:r>
              <w:t>,</w:t>
            </w:r>
            <w:r w:rsidRPr="00DD363D">
              <w:t xml:space="preserve"> ir secināts, ka Lietuvas, Igaunijas, Čehijas, Slovākijas un Vācijas muitas amatpersonām ir aizliegt</w:t>
            </w:r>
            <w:r>
              <w:t>s</w:t>
            </w:r>
            <w:r w:rsidRPr="00DD363D">
              <w:t xml:space="preserve"> streikot. Savukārt Spānijā, Grieķijā, </w:t>
            </w:r>
            <w:r w:rsidRPr="00DD363D">
              <w:lastRenderedPageBreak/>
              <w:t>Itālijā, Portugālē, Luksemburgā, Bulgārijā un Ungārijā muitas amatpersonām streika gadījumā ir jānodrošina iestādei noteikto minimālo pakalpojumu un funkciju izpilde.</w:t>
            </w:r>
          </w:p>
          <w:p w:rsidR="00FB29A6" w:rsidRPr="00DD363D" w:rsidRDefault="00FB29A6" w:rsidP="00B67D0A">
            <w:pPr>
              <w:jc w:val="both"/>
            </w:pPr>
            <w:r w:rsidRPr="00DD363D">
              <w:t>Francijas muitas darbiniekiem ir noteikti daži ierobežojumi –</w:t>
            </w:r>
            <w:r>
              <w:t xml:space="preserve"> </w:t>
            </w:r>
            <w:r w:rsidRPr="00DD363D">
              <w:t>streika gadījumā muitas amatpersonām, kuras strādā robežkontroles punktos, ir jānodrošina migrācijas kontrole, drošības un aizsardzības kontrole Lamanša tunelī u.</w:t>
            </w:r>
            <w:r>
              <w:t> </w:t>
            </w:r>
            <w:r w:rsidRPr="00DD363D">
              <w:t xml:space="preserve">tml. Tāpat Somijā, Horvātijā, </w:t>
            </w:r>
            <w:r w:rsidR="0013245D" w:rsidRPr="00DD363D">
              <w:t>Zviedrij</w:t>
            </w:r>
            <w:r w:rsidR="0013245D">
              <w:t>ā</w:t>
            </w:r>
            <w:r w:rsidRPr="00DD363D">
              <w:t>, Horvātijā, Kiprā un Rumānijā muitas amatpersonām piemēro vispārīgos noteikumus, kas nacionālajos tiesību aktos reglamentē civildienesta ierēdņu un darbinieku darba attiecības, ar nelielām atšķirībām katrā valsti, piemēram</w:t>
            </w:r>
            <w:r w:rsidR="0013245D">
              <w:t>,</w:t>
            </w:r>
            <w:r w:rsidRPr="00DD363D">
              <w:t xml:space="preserve"> Zviedrijā atsevišķiem muitas augstākā līmeņa vadītājiem ir liegtas tiesības streikot.</w:t>
            </w:r>
          </w:p>
          <w:p w:rsidR="00FB29A6" w:rsidRPr="00DD363D" w:rsidRDefault="00FB29A6" w:rsidP="00B67D0A">
            <w:pPr>
              <w:jc w:val="both"/>
            </w:pPr>
            <w:r w:rsidRPr="00DD363D">
              <w:t>Tikai Beļģijas, Īrijas un Maltas nacionālā likumdošana neaizliedz un nenosaka īpašus ierobežojumus/nosacījumus muitas amatpersonām streikot (Valsts ieņēmumu dienesta Muitas pārvaldes 19.05.2020. apkopotā informācija, kas saņemta no ārvalstu partneriem pieredzes apmaiņas procesā).”</w:t>
            </w:r>
          </w:p>
        </w:tc>
      </w:tr>
      <w:bookmarkEnd w:id="1"/>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pPr>
            <w:r>
              <w:lastRenderedPageBreak/>
              <w:t>4</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8B0663">
            <w:pPr>
              <w:jc w:val="both"/>
            </w:pPr>
            <w:r w:rsidRPr="00DD363D">
              <w:t>Likumprojekta anotācija</w:t>
            </w:r>
          </w:p>
          <w:p w:rsidR="00FB29A6" w:rsidRPr="00DD363D" w:rsidRDefault="00FB29A6" w:rsidP="00D4181C">
            <w:pPr>
              <w:jc w:val="both"/>
            </w:pPr>
          </w:p>
          <w:p w:rsidR="00FB29A6" w:rsidRPr="00DD363D" w:rsidRDefault="00FB29A6" w:rsidP="00D4181C">
            <w:pPr>
              <w:jc w:val="both"/>
            </w:pPr>
          </w:p>
          <w:p w:rsidR="00FB29A6" w:rsidRPr="00DD363D" w:rsidRDefault="00FB29A6" w:rsidP="00D4181C">
            <w:pPr>
              <w:jc w:val="both"/>
            </w:pPr>
          </w:p>
        </w:tc>
        <w:tc>
          <w:tcPr>
            <w:tcW w:w="3969" w:type="dxa"/>
            <w:gridSpan w:val="2"/>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jc w:val="both"/>
              <w:rPr>
                <w:b/>
              </w:rPr>
            </w:pPr>
            <w:r w:rsidRPr="00DD363D">
              <w:rPr>
                <w:b/>
              </w:rPr>
              <w:t>Tieslietu ministrijas 24.04.2020. iebildums</w:t>
            </w:r>
          </w:p>
          <w:p w:rsidR="00FB29A6" w:rsidRPr="00DD363D" w:rsidRDefault="00FB29A6" w:rsidP="00B43F7F">
            <w:pPr>
              <w:widowControl w:val="0"/>
              <w:tabs>
                <w:tab w:val="left" w:pos="993"/>
              </w:tabs>
              <w:suppressAutoHyphens/>
              <w:contextualSpacing/>
              <w:jc w:val="both"/>
              <w:rPr>
                <w:lang w:eastAsia="en-US"/>
              </w:rPr>
            </w:pPr>
            <w:r w:rsidRPr="00DD363D">
              <w:rPr>
                <w:lang w:eastAsia="en-US"/>
              </w:rPr>
              <w:t xml:space="preserve">Līdz ar projekta ieviešanu VID nodarbināto personu tiesības streikot tiks ierobežotas. Jāņem vērā, ka tiesības streikot ir Latvijas Republikas Satversmes (turpmāk – Satversme) 108. pantā paredzētās cilvēktiesības. Kaut arī tiesības streikot nav absolūtas un saskaņā ar Satversmes 116. pantā paredzēto var tikt ierobežotas likumā paredzētajos gadījumos, lai aizsargātu citu cilvēku tiesības, demokrātisko valsts iekārtu, sabiedrības drošību, labklājību un tikumību, tomēr ikvienam </w:t>
            </w:r>
            <w:proofErr w:type="spellStart"/>
            <w:r w:rsidRPr="00DD363D">
              <w:rPr>
                <w:lang w:eastAsia="en-US"/>
              </w:rPr>
              <w:t>pamattiesību</w:t>
            </w:r>
            <w:proofErr w:type="spellEnd"/>
            <w:r w:rsidRPr="00DD363D">
              <w:rPr>
                <w:lang w:eastAsia="en-US"/>
              </w:rPr>
              <w:t xml:space="preserve"> ierobežojam jāatbilst samērīguma principam, kurš prasa, lai valsts nospraustais mērķis un personai noteiktais </w:t>
            </w:r>
            <w:proofErr w:type="spellStart"/>
            <w:r w:rsidRPr="00DD363D">
              <w:rPr>
                <w:lang w:eastAsia="en-US"/>
              </w:rPr>
              <w:t>pamattiesību</w:t>
            </w:r>
            <w:proofErr w:type="spellEnd"/>
            <w:r w:rsidRPr="00DD363D">
              <w:rPr>
                <w:lang w:eastAsia="en-US"/>
              </w:rPr>
              <w:t xml:space="preserve"> ierobežojums būtu savstarpēji saskaņoti pēc to vērtības, pakāpes, nozīmīguma, svarīguma, kvalitātes un intensitātes.</w:t>
            </w:r>
          </w:p>
          <w:p w:rsidR="00FB29A6" w:rsidRPr="00DD363D" w:rsidRDefault="00FB29A6" w:rsidP="00B43F7F">
            <w:pPr>
              <w:widowControl w:val="0"/>
              <w:tabs>
                <w:tab w:val="left" w:pos="709"/>
                <w:tab w:val="left" w:pos="993"/>
              </w:tabs>
              <w:suppressAutoHyphens/>
              <w:jc w:val="both"/>
              <w:rPr>
                <w:i/>
                <w:iCs/>
                <w:lang w:eastAsia="en-US"/>
              </w:rPr>
            </w:pPr>
            <w:r w:rsidRPr="00DD363D">
              <w:rPr>
                <w:i/>
                <w:iCs/>
                <w:lang w:eastAsia="en-US"/>
              </w:rPr>
              <w:t xml:space="preserve">Samērīguma princips noteic, ka tad, ja publiskā vara ierobežo personas tiesības un likumiskās intereses, ir jāievēro saprātīgs līdzsvars starp personas un valsts vai sabiedrības </w:t>
            </w:r>
            <w:r w:rsidRPr="00DD363D">
              <w:rPr>
                <w:i/>
                <w:iCs/>
                <w:lang w:eastAsia="en-US"/>
              </w:rPr>
              <w:lastRenderedPageBreak/>
              <w:t>interesēm. Lai izvērtētu, vai likumdevēja pieņemtā tiesību norma atbilst samērīguma principam, jānoskaidro:</w:t>
            </w:r>
          </w:p>
          <w:p w:rsidR="00FB29A6" w:rsidRPr="00DD363D" w:rsidRDefault="00FB29A6" w:rsidP="00833B79">
            <w:pPr>
              <w:widowControl w:val="0"/>
              <w:numPr>
                <w:ilvl w:val="0"/>
                <w:numId w:val="8"/>
              </w:numPr>
              <w:tabs>
                <w:tab w:val="left" w:pos="742"/>
                <w:tab w:val="left" w:pos="851"/>
              </w:tabs>
              <w:suppressAutoHyphens/>
              <w:spacing w:after="160" w:line="259" w:lineRule="auto"/>
              <w:ind w:left="0" w:firstLine="34"/>
              <w:contextualSpacing/>
              <w:jc w:val="both"/>
              <w:rPr>
                <w:i/>
                <w:iCs/>
                <w:lang w:eastAsia="en-US"/>
              </w:rPr>
            </w:pPr>
            <w:r w:rsidRPr="00DD363D">
              <w:rPr>
                <w:i/>
                <w:iCs/>
                <w:lang w:eastAsia="en-US"/>
              </w:rPr>
              <w:t>pirmkārt, vai likumdevēja lietotie līdzekļi ir piemēroti leģitīma mērķa sasniegšanai;</w:t>
            </w:r>
          </w:p>
          <w:p w:rsidR="00FB29A6" w:rsidRPr="00DD363D" w:rsidRDefault="00FB29A6" w:rsidP="00833B79">
            <w:pPr>
              <w:widowControl w:val="0"/>
              <w:numPr>
                <w:ilvl w:val="0"/>
                <w:numId w:val="8"/>
              </w:numPr>
              <w:tabs>
                <w:tab w:val="left" w:pos="742"/>
                <w:tab w:val="left" w:pos="851"/>
              </w:tabs>
              <w:suppressAutoHyphens/>
              <w:spacing w:after="160" w:line="259" w:lineRule="auto"/>
              <w:ind w:left="0" w:firstLine="34"/>
              <w:contextualSpacing/>
              <w:jc w:val="both"/>
              <w:rPr>
                <w:i/>
                <w:iCs/>
                <w:lang w:eastAsia="en-US"/>
              </w:rPr>
            </w:pPr>
            <w:r w:rsidRPr="00DD363D">
              <w:rPr>
                <w:i/>
                <w:iCs/>
                <w:lang w:eastAsia="en-US"/>
              </w:rPr>
              <w:t>otrkārt, vai šāda rīcība ir nepieciešama, t.i., vai mērķi nevar sasniegt ar citiem, indivīda tiesības un likumiskās intereses mazāk ierobežojošiem līdzekļiem;</w:t>
            </w:r>
          </w:p>
          <w:p w:rsidR="00FB29A6" w:rsidRPr="00DD363D" w:rsidRDefault="00FB29A6" w:rsidP="00833B79">
            <w:pPr>
              <w:widowControl w:val="0"/>
              <w:numPr>
                <w:ilvl w:val="0"/>
                <w:numId w:val="8"/>
              </w:numPr>
              <w:tabs>
                <w:tab w:val="left" w:pos="851"/>
                <w:tab w:val="left" w:pos="993"/>
              </w:tabs>
              <w:suppressAutoHyphens/>
              <w:spacing w:line="259" w:lineRule="auto"/>
              <w:ind w:left="0" w:firstLine="0"/>
              <w:contextualSpacing/>
              <w:jc w:val="both"/>
              <w:rPr>
                <w:i/>
                <w:iCs/>
                <w:lang w:eastAsia="en-US"/>
              </w:rPr>
            </w:pPr>
            <w:r w:rsidRPr="00DD363D">
              <w:rPr>
                <w:i/>
                <w:iCs/>
                <w:lang w:eastAsia="en-US"/>
              </w:rPr>
              <w:t>treškārt, vai likumdevēja darbība ir samērīga jeb atbilstoša, t.i., vai labums, ko iegūs sabiedrība, ir lielāks par indivīda tiesībām un likumiskajām interesēm nodarīto zaudējumu.</w:t>
            </w:r>
          </w:p>
          <w:p w:rsidR="00FB29A6" w:rsidRPr="00DD363D" w:rsidRDefault="00FB29A6" w:rsidP="00833B79">
            <w:pPr>
              <w:widowControl w:val="0"/>
              <w:tabs>
                <w:tab w:val="left" w:pos="851"/>
                <w:tab w:val="left" w:pos="993"/>
              </w:tabs>
              <w:suppressAutoHyphens/>
              <w:ind w:firstLine="709"/>
              <w:jc w:val="both"/>
              <w:rPr>
                <w:i/>
                <w:iCs/>
                <w:lang w:eastAsia="en-US"/>
              </w:rPr>
            </w:pPr>
            <w:r w:rsidRPr="00DD363D">
              <w:rPr>
                <w:i/>
                <w:iCs/>
                <w:lang w:eastAsia="en-US"/>
              </w:rPr>
              <w:t>Ja, izvērtējot tiesību normu, tiek atzīts, ka tā neatbilst kaut vienam no šiem kritērijiem, tad tā neatbilst arī samērīguma principam un ir prettiesiska.</w:t>
            </w:r>
            <w:r w:rsidRPr="00DD363D">
              <w:rPr>
                <w:i/>
                <w:iCs/>
                <w:vertAlign w:val="superscript"/>
                <w:lang w:eastAsia="en-US"/>
              </w:rPr>
              <w:footnoteReference w:id="9"/>
            </w:r>
          </w:p>
          <w:p w:rsidR="00FB29A6" w:rsidRPr="00DD363D" w:rsidRDefault="00FB29A6" w:rsidP="00EB21F1">
            <w:pPr>
              <w:widowControl w:val="0"/>
              <w:tabs>
                <w:tab w:val="left" w:pos="993"/>
              </w:tabs>
              <w:suppressAutoHyphens/>
              <w:jc w:val="both"/>
              <w:rPr>
                <w:lang w:eastAsia="en-US"/>
              </w:rPr>
            </w:pPr>
            <w:r w:rsidRPr="00DD363D">
              <w:rPr>
                <w:rFonts w:eastAsia="Calibri"/>
                <w:lang w:eastAsia="en-US"/>
              </w:rPr>
              <w:t xml:space="preserve">Tādējādi, </w:t>
            </w:r>
            <w:r w:rsidRPr="00DD363D">
              <w:rPr>
                <w:lang w:eastAsia="en-US"/>
              </w:rPr>
              <w:t>lai pamatotu Satversmes 108. pantā paredzēto tiesību ierobežojuma pieļaujamību, nepietiek konstatēt mērķi, kādam šīs tiesības tiek ierobežotas</w:t>
            </w:r>
            <w:r w:rsidRPr="00DD363D">
              <w:rPr>
                <w:rFonts w:eastAsia="Calibri"/>
                <w:lang w:eastAsia="en-US"/>
              </w:rPr>
              <w:t xml:space="preserve">. Tādēļ lūdzam papildināt anotāciju ar </w:t>
            </w:r>
            <w:proofErr w:type="spellStart"/>
            <w:r w:rsidRPr="00DD363D">
              <w:rPr>
                <w:rFonts w:eastAsia="Calibri"/>
                <w:lang w:eastAsia="en-US"/>
              </w:rPr>
              <w:t>izvērtējumu</w:t>
            </w:r>
            <w:proofErr w:type="spellEnd"/>
            <w:r w:rsidRPr="00DD363D">
              <w:rPr>
                <w:rFonts w:eastAsia="Calibri"/>
                <w:lang w:eastAsia="en-US"/>
              </w:rPr>
              <w:t xml:space="preserve"> par </w:t>
            </w:r>
            <w:r w:rsidRPr="00DD363D">
              <w:rPr>
                <w:rFonts w:eastAsia="Calibri"/>
                <w:lang w:eastAsia="en-US"/>
              </w:rPr>
              <w:lastRenderedPageBreak/>
              <w:t>projektā paredzētā cilvēktiesību ierobežojuma samērīgumu.</w:t>
            </w:r>
          </w:p>
          <w:p w:rsidR="00FB29A6" w:rsidRPr="00DD363D" w:rsidRDefault="00FB29A6" w:rsidP="00D4181C">
            <w:pPr>
              <w:pStyle w:val="naisc"/>
              <w:spacing w:before="0" w:after="0"/>
              <w:jc w:val="both"/>
            </w:pPr>
          </w:p>
        </w:tc>
        <w:tc>
          <w:tcPr>
            <w:tcW w:w="3544" w:type="dxa"/>
            <w:gridSpan w:val="2"/>
            <w:tcBorders>
              <w:left w:val="single" w:sz="6" w:space="0" w:color="000000"/>
              <w:bottom w:val="single" w:sz="4" w:space="0" w:color="auto"/>
              <w:right w:val="single" w:sz="6" w:space="0" w:color="000000"/>
            </w:tcBorders>
          </w:tcPr>
          <w:p w:rsidR="00FB29A6" w:rsidRPr="00DD363D" w:rsidRDefault="00FB29A6" w:rsidP="00D4181C">
            <w:pPr>
              <w:spacing w:before="40" w:after="40"/>
              <w:jc w:val="center"/>
              <w:rPr>
                <w:b/>
              </w:rPr>
            </w:pPr>
            <w:r w:rsidRPr="00DD363D">
              <w:rPr>
                <w:b/>
              </w:rPr>
              <w:lastRenderedPageBreak/>
              <w:t>Iebildums ņemts vērā</w:t>
            </w:r>
          </w:p>
          <w:p w:rsidR="00FB29A6" w:rsidRPr="00DD363D" w:rsidRDefault="00FB29A6" w:rsidP="00B67D0A">
            <w:pPr>
              <w:spacing w:before="40" w:after="40"/>
              <w:jc w:val="center"/>
              <w:rPr>
                <w:b/>
              </w:rPr>
            </w:pP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D4181C">
            <w:pPr>
              <w:jc w:val="both"/>
            </w:pPr>
            <w:r w:rsidRPr="00DD363D">
              <w:t>Papildināts likumprojekta anotācijas I sadaļas 2. punkts ar 13., 14., 15., 16. un 17. rindkopu (4.</w:t>
            </w:r>
            <w:r>
              <w:t>,</w:t>
            </w:r>
            <w:r w:rsidR="0013245D">
              <w:t xml:space="preserve"> </w:t>
            </w:r>
            <w:r w:rsidRPr="00DD363D">
              <w:t>5. </w:t>
            </w:r>
            <w:proofErr w:type="spellStart"/>
            <w:r w:rsidRPr="00DD363D">
              <w:t>lp</w:t>
            </w:r>
            <w:proofErr w:type="spellEnd"/>
            <w:r w:rsidRPr="00DD363D">
              <w:t xml:space="preserve">.) šādā </w:t>
            </w:r>
            <w:r w:rsidR="0013245D" w:rsidRPr="00DD363D">
              <w:t>redakcij</w:t>
            </w:r>
            <w:r w:rsidR="0013245D">
              <w:t>ā</w:t>
            </w:r>
            <w:r w:rsidRPr="00DD363D">
              <w:t>:</w:t>
            </w:r>
          </w:p>
          <w:p w:rsidR="00FB29A6" w:rsidRPr="00DD363D" w:rsidRDefault="00FB29A6" w:rsidP="001F6057">
            <w:pPr>
              <w:jc w:val="both"/>
            </w:pPr>
            <w:r w:rsidRPr="00DD363D">
              <w:t xml:space="preserve">“Strādājošo tiesības streikot ir nostiprinātas Satversmes 108. pantā, kas noteic: </w:t>
            </w:r>
            <w:r>
              <w:t>“</w:t>
            </w:r>
            <w:r w:rsidRPr="00DD363D">
              <w:t>Strādājošajiem ir tiesības uz koplīgumu, kā arī tiesības streikot. Valsts aizsargā arodbiedrību brīvību.</w:t>
            </w:r>
            <w:r>
              <w:t>”</w:t>
            </w:r>
          </w:p>
          <w:p w:rsidR="00FB29A6" w:rsidRPr="00DD363D" w:rsidRDefault="00FB29A6" w:rsidP="00D4181C">
            <w:pPr>
              <w:jc w:val="both"/>
            </w:pPr>
            <w:r w:rsidRPr="00DD363D">
              <w:t xml:space="preserve">Strādājošo tiesības uz streiku nav absolūtas. Satversmes 116. pants </w:t>
            </w:r>
            <w:proofErr w:type="spellStart"/>
            <w:r w:rsidRPr="00DD363D">
              <w:rPr>
                <w:i/>
              </w:rPr>
              <w:t>expressis</w:t>
            </w:r>
            <w:proofErr w:type="spellEnd"/>
            <w:r w:rsidRPr="00DD363D">
              <w:rPr>
                <w:i/>
              </w:rPr>
              <w:t xml:space="preserve"> </w:t>
            </w:r>
            <w:proofErr w:type="spellStart"/>
            <w:r w:rsidRPr="00DD363D">
              <w:rPr>
                <w:i/>
              </w:rPr>
              <w:t>verbis</w:t>
            </w:r>
            <w:proofErr w:type="spellEnd"/>
            <w:r w:rsidRPr="00DD363D">
              <w:t xml:space="preserve"> noteic, ka Satversmes 108. pantā ietvertās personas tiesības streikot var ierobežot likumā paredzētajos gadījumos, lai nodrošinātu citu cilvēku tiesības, demokrātisko valsts iekārtu, sabiedrības drošību, labklājību un tikumību Nosakot kārtību, kādā strādājošie var īstenot savas tiesības streikot, valsts var paredzēt arī šo tiesību ierobežojumus. Tādā veidā valsts gan nodrošina attiecīgo </w:t>
            </w:r>
            <w:proofErr w:type="spellStart"/>
            <w:r w:rsidRPr="00DD363D">
              <w:t>pamattiesību</w:t>
            </w:r>
            <w:proofErr w:type="spellEnd"/>
            <w:r w:rsidRPr="00DD363D">
              <w:t xml:space="preserve"> izmantošanu, gan arī aizsargā citu personu tiesības un pārējās konstitucionālās vērtības. (sk. Satversmes tiesas  16.05.2007. sprieduma lietā Nr.</w:t>
            </w:r>
            <w:r>
              <w:t> </w:t>
            </w:r>
            <w:r w:rsidRPr="00DD363D">
              <w:t>2006-42-01 7., 8. punkt</w:t>
            </w:r>
            <w:r>
              <w:t>u</w:t>
            </w:r>
            <w:r w:rsidRPr="00DD363D">
              <w:t>).</w:t>
            </w:r>
            <w:r w:rsidRPr="00DD363D" w:rsidDel="001F6057">
              <w:t xml:space="preserve"> </w:t>
            </w:r>
            <w:proofErr w:type="spellStart"/>
            <w:r w:rsidRPr="00DD363D">
              <w:t>Pamattiesības</w:t>
            </w:r>
            <w:proofErr w:type="spellEnd"/>
            <w:r w:rsidRPr="00DD363D">
              <w:t xml:space="preserve"> var ierobežot tikai Satversmē noteiktajos gadījumos. Tādējādi strādājošo tiesības streikot var ierobežot, ja ierobežojums ir noteikts ar pienācīgā kārtā pieņemtu likumu svarīgu interešu, t.</w:t>
            </w:r>
            <w:r>
              <w:t> </w:t>
            </w:r>
            <w:r w:rsidRPr="00DD363D">
              <w:t>i., leģitīma mērķa</w:t>
            </w:r>
            <w:r>
              <w:t>,</w:t>
            </w:r>
            <w:r w:rsidRPr="00DD363D">
              <w:t xml:space="preserve"> labad un ir samērīgs (proporcionāls) ar </w:t>
            </w:r>
            <w:r w:rsidRPr="00DD363D">
              <w:lastRenderedPageBreak/>
              <w:t xml:space="preserve">šo mērķi (sk., piemēram, Satversmes tiesas </w:t>
            </w:r>
            <w:r>
              <w:t>11.04.</w:t>
            </w:r>
            <w:r w:rsidRPr="00DD363D">
              <w:t>2006.</w:t>
            </w:r>
            <w:r>
              <w:t> </w:t>
            </w:r>
            <w:r w:rsidRPr="00DD363D">
              <w:t>sprieduma lietā Nr. 2005-24-01 8. punktu).</w:t>
            </w:r>
          </w:p>
          <w:p w:rsidR="00FB29A6" w:rsidRPr="00DD363D" w:rsidRDefault="00FB29A6" w:rsidP="00D4181C">
            <w:pPr>
              <w:jc w:val="both"/>
            </w:pPr>
            <w:r w:rsidRPr="00DD363D">
              <w:t xml:space="preserve">Kā norādīts zinātniskajā literatūrā, pagaidu ierobežojumi tiesībām streikot var būt attaisnojami, ja tie noteikti ar mērķi veicināt vispārējo labklājību un nav pārmērīgs apgrūtinājums strādājošajiem, kuri vēlas streikot (sk. </w:t>
            </w:r>
            <w:proofErr w:type="spellStart"/>
            <w:r w:rsidRPr="00DD363D">
              <w:rPr>
                <w:i/>
              </w:rPr>
              <w:t>The</w:t>
            </w:r>
            <w:proofErr w:type="spellEnd"/>
            <w:r w:rsidRPr="00DD363D">
              <w:rPr>
                <w:i/>
              </w:rPr>
              <w:t xml:space="preserve"> </w:t>
            </w:r>
            <w:proofErr w:type="spellStart"/>
            <w:r w:rsidRPr="00DD363D">
              <w:rPr>
                <w:i/>
              </w:rPr>
              <w:t>International</w:t>
            </w:r>
            <w:proofErr w:type="spellEnd"/>
            <w:r w:rsidRPr="00DD363D">
              <w:rPr>
                <w:i/>
              </w:rPr>
              <w:t xml:space="preserve"> </w:t>
            </w:r>
            <w:proofErr w:type="spellStart"/>
            <w:r w:rsidRPr="00DD363D">
              <w:rPr>
                <w:i/>
              </w:rPr>
              <w:t>Covenant</w:t>
            </w:r>
            <w:proofErr w:type="spellEnd"/>
            <w:r w:rsidRPr="00DD363D">
              <w:rPr>
                <w:i/>
              </w:rPr>
              <w:t xml:space="preserve"> </w:t>
            </w:r>
            <w:proofErr w:type="spellStart"/>
            <w:r w:rsidRPr="00DD363D">
              <w:rPr>
                <w:i/>
              </w:rPr>
              <w:t>on</w:t>
            </w:r>
            <w:proofErr w:type="spellEnd"/>
            <w:r w:rsidRPr="00DD363D">
              <w:rPr>
                <w:i/>
              </w:rPr>
              <w:t xml:space="preserve"> </w:t>
            </w:r>
            <w:proofErr w:type="spellStart"/>
            <w:r w:rsidRPr="00DD363D">
              <w:rPr>
                <w:i/>
              </w:rPr>
              <w:t>Economic</w:t>
            </w:r>
            <w:proofErr w:type="spellEnd"/>
            <w:r w:rsidRPr="00DD363D">
              <w:rPr>
                <w:i/>
              </w:rPr>
              <w:t xml:space="preserve">, </w:t>
            </w:r>
            <w:proofErr w:type="spellStart"/>
            <w:r w:rsidRPr="00DD363D">
              <w:rPr>
                <w:i/>
              </w:rPr>
              <w:t>Social</w:t>
            </w:r>
            <w:proofErr w:type="spellEnd"/>
            <w:r w:rsidRPr="00DD363D">
              <w:rPr>
                <w:i/>
              </w:rPr>
              <w:t xml:space="preserve">, </w:t>
            </w:r>
            <w:proofErr w:type="spellStart"/>
            <w:r w:rsidRPr="00DD363D">
              <w:rPr>
                <w:i/>
              </w:rPr>
              <w:t>and</w:t>
            </w:r>
            <w:proofErr w:type="spellEnd"/>
            <w:r w:rsidRPr="00DD363D">
              <w:rPr>
                <w:i/>
              </w:rPr>
              <w:t xml:space="preserve"> </w:t>
            </w:r>
            <w:proofErr w:type="spellStart"/>
            <w:r w:rsidRPr="00DD363D">
              <w:rPr>
                <w:i/>
              </w:rPr>
              <w:t>Cultural</w:t>
            </w:r>
            <w:proofErr w:type="spellEnd"/>
            <w:r w:rsidRPr="00DD363D">
              <w:rPr>
                <w:i/>
              </w:rPr>
              <w:t xml:space="preserve"> </w:t>
            </w:r>
            <w:proofErr w:type="spellStart"/>
            <w:r w:rsidRPr="00DD363D">
              <w:rPr>
                <w:i/>
              </w:rPr>
              <w:t>Rights</w:t>
            </w:r>
            <w:proofErr w:type="spellEnd"/>
            <w:r w:rsidRPr="00DD363D">
              <w:rPr>
                <w:i/>
              </w:rPr>
              <w:t xml:space="preserve">. A </w:t>
            </w:r>
            <w:proofErr w:type="spellStart"/>
            <w:r w:rsidRPr="00DD363D">
              <w:rPr>
                <w:i/>
              </w:rPr>
              <w:t>Perspective</w:t>
            </w:r>
            <w:proofErr w:type="spellEnd"/>
            <w:r w:rsidRPr="00DD363D">
              <w:rPr>
                <w:i/>
              </w:rPr>
              <w:t xml:space="preserve"> </w:t>
            </w:r>
            <w:proofErr w:type="spellStart"/>
            <w:r w:rsidRPr="00DD363D">
              <w:rPr>
                <w:i/>
              </w:rPr>
              <w:t>on</w:t>
            </w:r>
            <w:proofErr w:type="spellEnd"/>
            <w:r w:rsidRPr="00DD363D">
              <w:rPr>
                <w:i/>
              </w:rPr>
              <w:t xml:space="preserve"> </w:t>
            </w:r>
            <w:proofErr w:type="spellStart"/>
            <w:r w:rsidRPr="00DD363D">
              <w:rPr>
                <w:i/>
              </w:rPr>
              <w:t>its</w:t>
            </w:r>
            <w:proofErr w:type="spellEnd"/>
            <w:r w:rsidRPr="00DD363D">
              <w:rPr>
                <w:i/>
              </w:rPr>
              <w:t xml:space="preserve"> </w:t>
            </w:r>
            <w:proofErr w:type="spellStart"/>
            <w:r w:rsidRPr="00DD363D">
              <w:rPr>
                <w:i/>
              </w:rPr>
              <w:t>Development</w:t>
            </w:r>
            <w:proofErr w:type="spellEnd"/>
            <w:r w:rsidRPr="00DD363D">
              <w:rPr>
                <w:i/>
              </w:rPr>
              <w:t xml:space="preserve">. </w:t>
            </w:r>
            <w:proofErr w:type="spellStart"/>
            <w:r w:rsidRPr="00CE0FB7">
              <w:t>Matthew</w:t>
            </w:r>
            <w:proofErr w:type="spellEnd"/>
            <w:r w:rsidRPr="00CE0FB7">
              <w:t xml:space="preserve"> C.R. </w:t>
            </w:r>
            <w:proofErr w:type="spellStart"/>
            <w:r w:rsidRPr="00CE0FB7">
              <w:t>Craven</w:t>
            </w:r>
            <w:proofErr w:type="spellEnd"/>
            <w:r w:rsidRPr="00CE0FB7">
              <w:t xml:space="preserve">, </w:t>
            </w:r>
            <w:proofErr w:type="spellStart"/>
            <w:r w:rsidRPr="00CE0FB7">
              <w:t>Oxford</w:t>
            </w:r>
            <w:proofErr w:type="spellEnd"/>
            <w:r w:rsidRPr="00CE0FB7">
              <w:t xml:space="preserve">, </w:t>
            </w:r>
            <w:proofErr w:type="spellStart"/>
            <w:r w:rsidRPr="00CE0FB7">
              <w:t>Clarendon</w:t>
            </w:r>
            <w:proofErr w:type="spellEnd"/>
            <w:r w:rsidRPr="00CE0FB7">
              <w:t xml:space="preserve"> </w:t>
            </w:r>
            <w:proofErr w:type="spellStart"/>
            <w:r w:rsidRPr="00CE0FB7">
              <w:t>Press</w:t>
            </w:r>
            <w:proofErr w:type="spellEnd"/>
            <w:r w:rsidRPr="00CE0FB7">
              <w:t xml:space="preserve">, 1995, </w:t>
            </w:r>
            <w:r w:rsidRPr="00DD363D">
              <w:t>285.</w:t>
            </w:r>
            <w:r>
              <w:t> lpp.</w:t>
            </w:r>
            <w:r w:rsidRPr="00DD363D">
              <w:t>).</w:t>
            </w:r>
          </w:p>
          <w:p w:rsidR="00FB29A6" w:rsidRPr="00DD363D" w:rsidRDefault="00FB29A6" w:rsidP="00D4181C">
            <w:pPr>
              <w:jc w:val="both"/>
            </w:pPr>
            <w:r w:rsidRPr="00DD363D">
              <w:t xml:space="preserve">Likumprojektā iekļautajai normai ir leģitīms mērķis </w:t>
            </w:r>
            <w:r>
              <w:t>–</w:t>
            </w:r>
            <w:r w:rsidRPr="00DD363D">
              <w:t xml:space="preserve"> panākt atbilstošu līdzsvaru starp nodarbināto tiesībām un likumiskajām interesēm un aizsargāt citu personu tiesības.</w:t>
            </w:r>
          </w:p>
          <w:p w:rsidR="00FB29A6" w:rsidRPr="00DD363D" w:rsidRDefault="00FB29A6" w:rsidP="00D4181C">
            <w:pPr>
              <w:jc w:val="both"/>
            </w:pPr>
            <w:r w:rsidRPr="00DD363D">
              <w:t>Izvērtējot likumprojekta atbilstību samērīguma principam, norādāms, ka likumprojekta mērķis ir nepieļaut sabiedriskās kārtības, indivīda drošības un ekonomiskās labklājības apdraudējumu. Turklāt iepriekš minēto mērķi nevar sasniegt ar citiem līdzekļiem, jo nav iespējams uz laiku nodot funkciju izpildi citiem dienestiem, jo nodarbinātajiem ir nepieciešamas speciālās zināšanas, izglītība un pieredze attiecīgajā jomā. Ņemot vērā minēto,</w:t>
            </w:r>
            <w:r>
              <w:t xml:space="preserve"> secināms, ka</w:t>
            </w:r>
            <w:r w:rsidRPr="00DD363D">
              <w:t xml:space="preserve"> labums, ko sabiedrība iegūst ar likumprojektā paredzētajiem ierobežojumiem, ir lielāks nekā atsevišķu nodarbināto tiesību ierobežojums, turklāt </w:t>
            </w:r>
            <w:bookmarkStart w:id="2" w:name="_Hlk45029257"/>
            <w:r w:rsidRPr="00DD363D">
              <w:t xml:space="preserve">streikot ir aizliegts Valsts </w:t>
            </w:r>
            <w:r w:rsidRPr="00DD363D">
              <w:lastRenderedPageBreak/>
              <w:t>policijas darbiniekiem, kuri veic līdzīgas funkcijas kā Valsts ieņēmumu dienesta Nodokļu un muitas policijas pārvald</w:t>
            </w:r>
            <w:r>
              <w:t>ē</w:t>
            </w:r>
            <w:r w:rsidRPr="00DD363D">
              <w:t xml:space="preserve"> nodarbinātie</w:t>
            </w:r>
            <w:r>
              <w:t>,</w:t>
            </w:r>
            <w:r w:rsidRPr="00DD363D">
              <w:t xml:space="preserve"> un robežsargiem, kuri veic pienākumus uz valsts robežas līdzās Valsts ieņēmumu dienesta Muitas pārvaldē nodarbinātajiem.</w:t>
            </w:r>
            <w:bookmarkEnd w:id="2"/>
            <w:r w:rsidRPr="00DD363D">
              <w:t>”</w:t>
            </w:r>
          </w:p>
          <w:p w:rsidR="00FB29A6" w:rsidRPr="00DD363D" w:rsidRDefault="00FB29A6" w:rsidP="00D4181C">
            <w:pPr>
              <w:jc w:val="both"/>
            </w:pPr>
          </w:p>
        </w:tc>
      </w:tr>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pPr>
            <w:r>
              <w:lastRenderedPageBreak/>
              <w:t>5</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D4181C">
            <w:pPr>
              <w:jc w:val="both"/>
            </w:pPr>
            <w:r w:rsidRPr="00DD363D">
              <w:t>Likumprojekta anotācija</w:t>
            </w:r>
          </w:p>
        </w:tc>
        <w:tc>
          <w:tcPr>
            <w:tcW w:w="3969" w:type="dxa"/>
            <w:gridSpan w:val="2"/>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jc w:val="both"/>
              <w:rPr>
                <w:b/>
              </w:rPr>
            </w:pPr>
            <w:r w:rsidRPr="00DD363D">
              <w:rPr>
                <w:b/>
              </w:rPr>
              <w:t>Tieslietu ministrijas 24.04.2020. iebildums</w:t>
            </w:r>
          </w:p>
          <w:p w:rsidR="00FB29A6" w:rsidRPr="00DD363D" w:rsidRDefault="00FB29A6" w:rsidP="00EB21F1">
            <w:pPr>
              <w:widowControl w:val="0"/>
              <w:tabs>
                <w:tab w:val="left" w:pos="993"/>
              </w:tabs>
              <w:suppressAutoHyphens/>
              <w:contextualSpacing/>
              <w:jc w:val="both"/>
              <w:rPr>
                <w:i/>
                <w:iCs/>
                <w:lang w:eastAsia="en-US"/>
              </w:rPr>
            </w:pPr>
            <w:r w:rsidRPr="00DD363D">
              <w:rPr>
                <w:lang w:eastAsia="en-US"/>
              </w:rPr>
              <w:t xml:space="preserve">Kā norādīts Satversmes 108. panta komentāros, </w:t>
            </w:r>
            <w:r w:rsidRPr="00DD363D">
              <w:rPr>
                <w:i/>
                <w:iCs/>
                <w:lang w:eastAsia="en-US"/>
              </w:rPr>
              <w:t>tiesības streikot ir arī valsts dienestā esošajiem. Valsts dienestā esošajiem ir jābūt tiesībām pārtraukt darbu, un nav pietiekami, ja valsts dienestā esošajiem tiek atļauts pieteikt streiku tikai simboliski, nepārtraucot darbu.</w:t>
            </w:r>
            <w:r w:rsidRPr="00DD363D">
              <w:rPr>
                <w:i/>
                <w:iCs/>
                <w:vertAlign w:val="superscript"/>
                <w:lang w:eastAsia="en-US"/>
              </w:rPr>
              <w:footnoteReference w:id="10"/>
            </w:r>
            <w:r w:rsidRPr="00DD363D">
              <w:rPr>
                <w:i/>
                <w:iCs/>
                <w:lang w:eastAsia="en-US"/>
              </w:rPr>
              <w:t xml:space="preserve"> Ir pieļaujams ierobežot tiesības streikot sabiedrībai nepieciešamajos dienestos, jo streiks šajos dienestos var radīt apdraudējumu sabiedrības interesēm, valsts drošībai vai sabiedrības veselībai.</w:t>
            </w:r>
            <w:r w:rsidRPr="00DD363D">
              <w:rPr>
                <w:i/>
                <w:iCs/>
                <w:vertAlign w:val="superscript"/>
                <w:lang w:eastAsia="en-US"/>
              </w:rPr>
              <w:t xml:space="preserve"> </w:t>
            </w:r>
            <w:r w:rsidRPr="00DD363D">
              <w:rPr>
                <w:i/>
                <w:iCs/>
                <w:vertAlign w:val="superscript"/>
                <w:lang w:eastAsia="en-US"/>
              </w:rPr>
              <w:footnoteReference w:id="11"/>
            </w:r>
            <w:r w:rsidRPr="00DD363D">
              <w:rPr>
                <w:i/>
                <w:iCs/>
                <w:lang w:eastAsia="en-US"/>
              </w:rPr>
              <w:t xml:space="preserve">  Tomēr ne visiem, kas nodarbināti sabiedrībai nepieciešamajos dienestos, drīkst aizliegt streikot.</w:t>
            </w:r>
            <w:r w:rsidRPr="00DD363D">
              <w:rPr>
                <w:i/>
                <w:iCs/>
                <w:vertAlign w:val="superscript"/>
                <w:lang w:eastAsia="en-US"/>
              </w:rPr>
              <w:footnoteReference w:id="12"/>
            </w:r>
            <w:r w:rsidRPr="00DD363D">
              <w:rPr>
                <w:i/>
                <w:iCs/>
                <w:lang w:eastAsia="en-US"/>
              </w:rPr>
              <w:t xml:space="preserve"> </w:t>
            </w:r>
          </w:p>
          <w:p w:rsidR="00FB29A6" w:rsidRPr="00DD363D" w:rsidRDefault="00FB29A6" w:rsidP="00B43F7F">
            <w:pPr>
              <w:widowControl w:val="0"/>
              <w:tabs>
                <w:tab w:val="left" w:pos="993"/>
              </w:tabs>
              <w:suppressAutoHyphens/>
              <w:jc w:val="both"/>
              <w:rPr>
                <w:lang w:eastAsia="en-US"/>
              </w:rPr>
            </w:pPr>
            <w:r w:rsidRPr="00DD363D">
              <w:rPr>
                <w:lang w:eastAsia="en-US"/>
              </w:rPr>
              <w:t xml:space="preserve">Ievērojot minēto, lūdzam papildināt anotāciju ar </w:t>
            </w:r>
            <w:proofErr w:type="spellStart"/>
            <w:r w:rsidRPr="00DD363D">
              <w:rPr>
                <w:lang w:eastAsia="en-US"/>
              </w:rPr>
              <w:t>izvērtējumu</w:t>
            </w:r>
            <w:proofErr w:type="spellEnd"/>
            <w:r w:rsidRPr="00DD363D">
              <w:rPr>
                <w:lang w:eastAsia="en-US"/>
              </w:rPr>
              <w:t xml:space="preserve">, vai visu VID ir pamatoti iekļaut sabiedrībai </w:t>
            </w:r>
            <w:r w:rsidRPr="00DD363D">
              <w:rPr>
                <w:lang w:eastAsia="en-US"/>
              </w:rPr>
              <w:lastRenderedPageBreak/>
              <w:t>nepieciešamo dienestu sarakstā Streiku likuma izpratnē, vai tikai daļu (piemēram, noteiktu VID pārvaldi).</w:t>
            </w:r>
          </w:p>
          <w:p w:rsidR="00FB29A6" w:rsidRPr="00DD363D" w:rsidRDefault="00FB29A6" w:rsidP="00D4181C">
            <w:pPr>
              <w:pStyle w:val="naisc"/>
              <w:spacing w:before="0" w:after="0"/>
              <w:jc w:val="both"/>
            </w:pPr>
          </w:p>
        </w:tc>
        <w:tc>
          <w:tcPr>
            <w:tcW w:w="3544" w:type="dxa"/>
            <w:gridSpan w:val="2"/>
            <w:tcBorders>
              <w:left w:val="single" w:sz="6" w:space="0" w:color="000000"/>
              <w:bottom w:val="single" w:sz="4" w:space="0" w:color="auto"/>
              <w:right w:val="single" w:sz="6" w:space="0" w:color="000000"/>
            </w:tcBorders>
          </w:tcPr>
          <w:p w:rsidR="00FB29A6" w:rsidRPr="00DD363D" w:rsidRDefault="00FB29A6" w:rsidP="00D4181C">
            <w:pPr>
              <w:spacing w:before="40" w:after="40"/>
              <w:jc w:val="center"/>
              <w:rPr>
                <w:b/>
              </w:rPr>
            </w:pPr>
            <w:r w:rsidRPr="00DD363D">
              <w:rPr>
                <w:b/>
              </w:rPr>
              <w:lastRenderedPageBreak/>
              <w:t>Iebildums ņemts vērā</w:t>
            </w:r>
          </w:p>
          <w:p w:rsidR="00FB29A6" w:rsidRPr="00DD363D" w:rsidRDefault="00FB29A6" w:rsidP="00242B90">
            <w:pPr>
              <w:spacing w:before="40" w:after="40"/>
              <w:jc w:val="center"/>
              <w:rPr>
                <w:b/>
              </w:rPr>
            </w:pP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EB21F1">
            <w:pPr>
              <w:spacing w:before="40" w:after="40"/>
              <w:jc w:val="both"/>
            </w:pPr>
            <w:r w:rsidRPr="00DD363D">
              <w:t>Papildināts likumprojekta anotācijas I</w:t>
            </w:r>
            <w:r>
              <w:t> </w:t>
            </w:r>
            <w:r w:rsidRPr="00DD363D">
              <w:t>sadaļas 2. punkts ar 9. un 10.</w:t>
            </w:r>
            <w:r>
              <w:t> </w:t>
            </w:r>
            <w:r w:rsidRPr="00DD363D">
              <w:t>rindkopu (3. </w:t>
            </w:r>
            <w:proofErr w:type="spellStart"/>
            <w:r w:rsidRPr="00DD363D">
              <w:t>lp</w:t>
            </w:r>
            <w:proofErr w:type="spellEnd"/>
            <w:r w:rsidR="009E283A">
              <w:t>.</w:t>
            </w:r>
            <w:r w:rsidRPr="00DD363D">
              <w:t>) šādā redakcijā:</w:t>
            </w:r>
          </w:p>
          <w:p w:rsidR="00FB29A6" w:rsidRPr="00DD363D" w:rsidRDefault="00FB29A6" w:rsidP="00A87FF4">
            <w:pPr>
              <w:jc w:val="both"/>
            </w:pPr>
            <w:r w:rsidRPr="00DD363D">
              <w:t>“Šobrīd regulējums paredz</w:t>
            </w:r>
            <w:r>
              <w:t>:</w:t>
            </w:r>
            <w:r w:rsidRPr="00DD363D">
              <w:t xml:space="preserve"> lai novērstu draudus valsts, visas sabiedrības, kādas iedzīvotāju grupas vai atsevišķu indivīdu drošībai, veselībai vai dzīvībai, streikot ir aizliegts Valsts policijas darbiniekiem, kuri veic līdzīgas funkcijas kā Valsts ieņēmumu dienesta Nodokļu un muitas policijas pārvald</w:t>
            </w:r>
            <w:r>
              <w:t>ē</w:t>
            </w:r>
            <w:r w:rsidRPr="00DD363D">
              <w:t xml:space="preserve"> nodarbinātie, un Valsts robežsardzes nodarbinātajiem, kuri veic pienākumus uz valsts robežas līdzās Muitas pārvaldē nodarbinātajiem. </w:t>
            </w:r>
          </w:p>
          <w:p w:rsidR="00FB29A6" w:rsidRPr="00DD363D" w:rsidRDefault="00FB29A6" w:rsidP="00A87FF4">
            <w:pPr>
              <w:jc w:val="both"/>
            </w:pPr>
            <w:r w:rsidRPr="00DD363D">
              <w:t xml:space="preserve">Ņemot vērā, ka Valsts ieņēmumu dienesta Nodokļu un muitas policijas pārvaldes un Muitas pārvaldes struktūrvienībās nodarbinātie veic funkcijas, kuru pārtraukšana var radīt draudus valsts, visas sabiedrības, kādas iedzīvotāju grupas vai atsevišķu indivīdu drošībai, veselībai vai dzīvībai, streika laikā </w:t>
            </w:r>
            <w:r w:rsidRPr="00DD363D">
              <w:lastRenderedPageBreak/>
              <w:t>minimālā apjomā nepieciešams nodrošināt Valsts ieņēmumu dienesta Nodokļu un muitas policijas pārvaldes un Muitas pārvaldes noteiktu struktūrvienību darbu. Pirms streika Valsts ieņēmumu dienesta vadība vienotos ar streiku komiteju un patstāvīgo struktūrvienību vadītājiem par darba nodrošināšanu minimālā apjomā konkrētajās struktūrvienībās (minimālo nodarbināto skaitu darba nodrošināšanai).”</w:t>
            </w:r>
          </w:p>
        </w:tc>
      </w:tr>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pPr>
            <w:bookmarkStart w:id="3" w:name="_Hlk42523288"/>
            <w:r>
              <w:lastRenderedPageBreak/>
              <w:t>6</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D4181C">
            <w:pPr>
              <w:jc w:val="both"/>
            </w:pPr>
            <w:r w:rsidRPr="00DD363D">
              <w:t>Likumprojekta anotācija</w:t>
            </w:r>
          </w:p>
        </w:tc>
        <w:tc>
          <w:tcPr>
            <w:tcW w:w="3969" w:type="dxa"/>
            <w:gridSpan w:val="2"/>
            <w:tcBorders>
              <w:left w:val="single" w:sz="6" w:space="0" w:color="000000"/>
              <w:bottom w:val="single" w:sz="4" w:space="0" w:color="auto"/>
              <w:right w:val="single" w:sz="6" w:space="0" w:color="000000"/>
            </w:tcBorders>
          </w:tcPr>
          <w:p w:rsidR="00FB29A6" w:rsidRPr="00DD363D" w:rsidRDefault="00FB29A6" w:rsidP="00044C0C">
            <w:pPr>
              <w:pStyle w:val="naisc"/>
              <w:jc w:val="both"/>
              <w:rPr>
                <w:b/>
              </w:rPr>
            </w:pPr>
            <w:r w:rsidRPr="00DD363D">
              <w:rPr>
                <w:b/>
              </w:rPr>
              <w:t>Tieslietu ministrijas 24.04.2020. iebildums</w:t>
            </w:r>
          </w:p>
          <w:p w:rsidR="00FB29A6" w:rsidRPr="00DD363D" w:rsidRDefault="00FB29A6" w:rsidP="00803BF0">
            <w:pPr>
              <w:pStyle w:val="naisc"/>
              <w:jc w:val="both"/>
            </w:pPr>
            <w:r w:rsidRPr="00DD363D">
              <w:t xml:space="preserve">Ministru kabineta 15.12.2009. instrukcijas Nr. 19 "Tiesību akta projekta sākotnējās ietekmes izvērtēšanas kārtība" (turpmāk – MK instrukcija Nr. 19) 20. punktā norādīts, ka anotācijas II sadaļas 1. punktā norāda visas sabiedrības </w:t>
            </w:r>
            <w:proofErr w:type="spellStart"/>
            <w:r w:rsidRPr="00DD363D">
              <w:t>mērķgrupas</w:t>
            </w:r>
            <w:proofErr w:type="spellEnd"/>
            <w:r w:rsidRPr="00DD363D">
              <w:t xml:space="preserve">, uz kurām attiecināms projekta tiesiskais regulējums tiešā un netiešā veidā, t.i., kuru tiesības, pienākumus, finanses vai iespējas projekts ietekmē vai varētu ietekmēt. Ar sabiedrības </w:t>
            </w:r>
            <w:proofErr w:type="spellStart"/>
            <w:r w:rsidRPr="00DD363D">
              <w:t>mērķgrupu</w:t>
            </w:r>
            <w:proofErr w:type="spellEnd"/>
            <w:r w:rsidRPr="00DD363D">
              <w:t xml:space="preserve"> saprot jebkuru fizisku vai juridisku personu grupu (tai skaitā valsts un pašvaldību iestādēs nodarbinātos), kuru skar projektā paredzētais regulējums. Savukārt saskaņā ar minētās instrukcijas 4.11. apakšpunktu, izvērtējot projekta sākotnējo ietekmi, vērtē cita starpā arī ietekmi uz pārvaldes iestāžu </w:t>
            </w:r>
            <w:r w:rsidRPr="00DD363D">
              <w:lastRenderedPageBreak/>
              <w:t>cilvēkresursiem.</w:t>
            </w:r>
          </w:p>
          <w:p w:rsidR="00FB29A6" w:rsidRPr="00DD363D" w:rsidRDefault="00FB29A6" w:rsidP="00803BF0">
            <w:pPr>
              <w:pStyle w:val="naisc"/>
              <w:jc w:val="both"/>
            </w:pPr>
            <w:r w:rsidRPr="00DD363D">
              <w:t xml:space="preserve">Ņemot vērā, ka projekts ierobežo VID darbinieku tiesības streikot, lūdzam papildināt anotācijas II sadaļu ar </w:t>
            </w:r>
            <w:proofErr w:type="spellStart"/>
            <w:r w:rsidRPr="00DD363D">
              <w:t>izvērtējumu</w:t>
            </w:r>
            <w:proofErr w:type="spellEnd"/>
            <w:r w:rsidRPr="00DD363D">
              <w:t xml:space="preserve"> par projekta ietekmi uz šo sabiedrības </w:t>
            </w:r>
            <w:proofErr w:type="spellStart"/>
            <w:r w:rsidRPr="00DD363D">
              <w:t>mērķgrupu</w:t>
            </w:r>
            <w:proofErr w:type="spellEnd"/>
            <w:r w:rsidRPr="00DD363D">
              <w:t xml:space="preserve">. Tieslietu ministrijas ieskatā projekta anotācijā nav izvērtēta projekta iespējamā ietekme uz VID cilvēkresursiem un šāds </w:t>
            </w:r>
            <w:proofErr w:type="spellStart"/>
            <w:r w:rsidRPr="00DD363D">
              <w:t>izvērtējums</w:t>
            </w:r>
            <w:proofErr w:type="spellEnd"/>
            <w:r w:rsidRPr="00DD363D">
              <w:t xml:space="preserve"> anotācijā būtu nepieciešams.</w:t>
            </w:r>
          </w:p>
          <w:p w:rsidR="00FB29A6" w:rsidRPr="00DD363D" w:rsidRDefault="00FB29A6" w:rsidP="00803BF0">
            <w:pPr>
              <w:pStyle w:val="naisc"/>
              <w:jc w:val="both"/>
            </w:pPr>
            <w:r w:rsidRPr="00DD363D">
              <w:t xml:space="preserve">Piemēram, lūdzam anotācijā sniegt skaidrojumu tam, kā streika gadījumā tiek plānots nodrošināt VID darbību minimālā apjomā. Piemēram, vai tiks veiktas izmaiņas VID darbinieku amata aprakstos (darba līgumos), lai paredzētu tajos streika laikā veicamo minimāli nepieciešamo darbu uzskaitījumu. Attiecīgi, ja tiks veiktas izmaiņas amata aprakstos (darba līgumos), tad tas radīs papildu administratīvo slogu VID (vismaz sākotnēji), kas būtu jāatspoguļo projekta anotācijā. Tāpat atbilstoši Streiku likuma 17. punkta trešajai daļai pirms streika uzsākšanas darba devējs un streika komiteja </w:t>
            </w:r>
            <w:proofErr w:type="spellStart"/>
            <w:r w:rsidRPr="00DD363D">
              <w:t>rakstveidā</w:t>
            </w:r>
            <w:proofErr w:type="spellEnd"/>
            <w:r w:rsidRPr="00DD363D">
              <w:t xml:space="preserve"> vienojas un no tiem darbiniekiem, kas piedalīsies streikā, norīko noteiktu skaitu darbinieku, kuri veiks šā panta pirmajā daļā minēto darbu streika laikā, kā arī nosaka minēto darbinieku </w:t>
            </w:r>
            <w:r w:rsidRPr="00DD363D">
              <w:lastRenderedPageBreak/>
              <w:t>praktiskās darbības apjomu un dod konkrētus rīkojumus. No minētā izriet, ka streika gadījumā darba devējam būs jāveic papildu darbības, tādējādi administratīvais slogs VID palielināsies un radīsies jaunas administratīvās izmaksas. Līdz ar to lūgums precizēt anotācijas II sadaļas 2. un 3. punktu.</w:t>
            </w:r>
          </w:p>
          <w:p w:rsidR="00FB29A6" w:rsidRPr="00DD363D" w:rsidRDefault="00FB29A6" w:rsidP="00044C0C">
            <w:pPr>
              <w:pStyle w:val="naisc"/>
              <w:spacing w:before="0" w:after="0"/>
              <w:jc w:val="both"/>
            </w:pPr>
            <w:r w:rsidRPr="00DD363D">
              <w:t>Vienlaikus, ja projektā ietverto grozījumu īstenošanai paredzēts mainīt VID nodarbināto amata aprakstus (darba līgumus), lūdzam izvērtēt iespējamos riskus, ja VID nodarbinātie nepiekritīs šīm izmaiņām.</w:t>
            </w:r>
          </w:p>
        </w:tc>
        <w:tc>
          <w:tcPr>
            <w:tcW w:w="3544" w:type="dxa"/>
            <w:gridSpan w:val="2"/>
            <w:tcBorders>
              <w:left w:val="single" w:sz="6" w:space="0" w:color="000000"/>
              <w:bottom w:val="single" w:sz="4" w:space="0" w:color="auto"/>
              <w:right w:val="single" w:sz="6" w:space="0" w:color="000000"/>
            </w:tcBorders>
          </w:tcPr>
          <w:p w:rsidR="00FB29A6" w:rsidRPr="00DD363D" w:rsidRDefault="00FB29A6" w:rsidP="00D4181C">
            <w:pPr>
              <w:spacing w:before="40" w:after="40"/>
              <w:jc w:val="center"/>
              <w:rPr>
                <w:b/>
              </w:rPr>
            </w:pPr>
            <w:r w:rsidRPr="00DD363D">
              <w:rPr>
                <w:b/>
              </w:rPr>
              <w:lastRenderedPageBreak/>
              <w:t>Iebildums ņemts vērā</w:t>
            </w:r>
          </w:p>
          <w:p w:rsidR="00FB29A6" w:rsidRPr="00DD363D" w:rsidRDefault="00FB29A6" w:rsidP="00F16A89">
            <w:pPr>
              <w:spacing w:before="40" w:after="40"/>
              <w:jc w:val="both"/>
            </w:pPr>
            <w:r w:rsidRPr="00DD363D">
              <w:t xml:space="preserve">Veicot detalizētu Valsts ieņēmumu dienesta Muitas pārvaldes un Nodokļu un muitas policijas pārvaldes funkciju </w:t>
            </w:r>
            <w:proofErr w:type="spellStart"/>
            <w:r w:rsidRPr="00DD363D">
              <w:t>izvērtējumu</w:t>
            </w:r>
            <w:proofErr w:type="spellEnd"/>
            <w:r>
              <w:t>,</w:t>
            </w:r>
            <w:r w:rsidRPr="00DD363D">
              <w:t xml:space="preserve"> Valsts ieņēmumu dienests secināja, ka nav iespējams noteikt konkrētus amatus vai struktūrvienības</w:t>
            </w:r>
            <w:r>
              <w:t>,</w:t>
            </w:r>
            <w:r w:rsidRPr="00DD363D">
              <w:t xml:space="preserve"> kurām būs atļauts streikot vai streika gadījumā būtu jānodrošina darbs minimālajā apjomā. Gan Muitas pārvaldes, gan Nodokļu un muitas policijas pārvaldes atsevišķas struktūrvienības nespēs nodrošināt savu darbu autonomi</w:t>
            </w:r>
            <w:r>
              <w:t>,</w:t>
            </w:r>
            <w:r w:rsidRPr="00DD363D">
              <w:t xml:space="preserve"> nesadarbojoties</w:t>
            </w:r>
            <w:r>
              <w:t xml:space="preserve"> ar citām struktūrvienībām</w:t>
            </w:r>
            <w:r w:rsidRPr="00DD363D">
              <w:t xml:space="preserve"> un nesaņemot </w:t>
            </w:r>
            <w:r>
              <w:t xml:space="preserve">to </w:t>
            </w:r>
            <w:r w:rsidRPr="00DD363D">
              <w:t>atbalstu. Tādējādi Valsts ieņēmumu dienesta ieskatā</w:t>
            </w:r>
            <w:r w:rsidR="009E283A">
              <w:t xml:space="preserve"> </w:t>
            </w:r>
            <w:r w:rsidRPr="00DD363D">
              <w:t>vienīgais veids, k</w:t>
            </w:r>
            <w:r>
              <w:t>ā</w:t>
            </w:r>
            <w:r w:rsidRPr="00DD363D">
              <w:t xml:space="preserve"> nodrošināt nepārtrauktu Muitas pārvaldes un Nodokļu un muitas policijas pārvaldes darbu, neradot draudus </w:t>
            </w:r>
            <w:r w:rsidRPr="00DD363D">
              <w:lastRenderedPageBreak/>
              <w:t>valsts, visas sabiedrības, kādas iedzīvotāju grupas vai atsevišķu indivīdu drošībai, veselībai vai dzīvībai</w:t>
            </w:r>
            <w:r>
              <w:t>,</w:t>
            </w:r>
            <w:r w:rsidRPr="00DD363D">
              <w:t xml:space="preserve"> ir aizliegt minēto pārvalžu darbiniekiem streikot.</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3236E3">
            <w:pPr>
              <w:jc w:val="both"/>
            </w:pPr>
            <w:r w:rsidRPr="00DD363D">
              <w:lastRenderedPageBreak/>
              <w:t>Papildināts likumprojekta anotācijas I</w:t>
            </w:r>
            <w:r>
              <w:t> </w:t>
            </w:r>
            <w:r w:rsidRPr="00DD363D">
              <w:t>sadaļas 2. punkts ar 11.</w:t>
            </w:r>
            <w:r>
              <w:t> </w:t>
            </w:r>
            <w:r w:rsidRPr="00DD363D">
              <w:t>un 12.</w:t>
            </w:r>
            <w:r>
              <w:t> </w:t>
            </w:r>
            <w:r w:rsidRPr="00DD363D">
              <w:t>rindkopu (4. </w:t>
            </w:r>
            <w:proofErr w:type="spellStart"/>
            <w:r w:rsidRPr="00DD363D">
              <w:t>lp</w:t>
            </w:r>
            <w:proofErr w:type="spellEnd"/>
            <w:r w:rsidR="009E283A">
              <w:t>.</w:t>
            </w:r>
            <w:r w:rsidRPr="00DD363D">
              <w:t>) šādā redakcijā:</w:t>
            </w:r>
          </w:p>
          <w:p w:rsidR="00FB29A6" w:rsidRPr="00DD363D" w:rsidRDefault="00FB29A6" w:rsidP="00312F20">
            <w:pPr>
              <w:jc w:val="both"/>
            </w:pPr>
            <w:r w:rsidRPr="00DD363D">
              <w:t xml:space="preserve">“Lai </w:t>
            </w:r>
            <w:proofErr w:type="spellStart"/>
            <w:r w:rsidRPr="00DD363D">
              <w:t>pirmšķietami</w:t>
            </w:r>
            <w:proofErr w:type="spellEnd"/>
            <w:r w:rsidRPr="00DD363D">
              <w:t xml:space="preserve"> noteiktu, kurās Valsts ieņēmumu dienesta Nodokļu un muitas policijas pārvaldes un Muitas pārvaldes struktūrvienībās streika laikā būs jānodrošina darbs minimālajā apjomā, Valsts ieņēmumu dienestā veikts minēto pārvalžu struktūrvienību darba specifikas </w:t>
            </w:r>
            <w:proofErr w:type="spellStart"/>
            <w:r w:rsidRPr="00DD363D">
              <w:t>izvērtējums</w:t>
            </w:r>
            <w:proofErr w:type="spellEnd"/>
            <w:r w:rsidRPr="00DD363D">
              <w:t>.</w:t>
            </w:r>
          </w:p>
          <w:p w:rsidR="00FB29A6" w:rsidRPr="00DD363D" w:rsidRDefault="00FB29A6" w:rsidP="00E41BCD">
            <w:pPr>
              <w:jc w:val="both"/>
            </w:pPr>
            <w:r w:rsidRPr="00DD363D">
              <w:t xml:space="preserve">No Valsts ieņēmumu dienesta Nodokļu un muitas policijas pārvaldes </w:t>
            </w:r>
            <w:proofErr w:type="spellStart"/>
            <w:r w:rsidRPr="00DD363D">
              <w:t>izvērtējuma</w:t>
            </w:r>
            <w:proofErr w:type="spellEnd"/>
            <w:r w:rsidRPr="00DD363D">
              <w:t xml:space="preserve"> izriet, ka atbilstoši Kriminālprocesa likuma 386. pantā noteiktajam Valsts ieņēmumu dienesta Nodokļu un muitas policijas pārvalde ir izmeklēšanas iestāde un saskaņā ar Operatīvās darbības likuma 25. pantā noteikto arī operatīvās darbības subjekts.</w:t>
            </w:r>
          </w:p>
          <w:p w:rsidR="00FB29A6" w:rsidRPr="00DD363D" w:rsidRDefault="00FB29A6" w:rsidP="00E41BCD">
            <w:pPr>
              <w:jc w:val="both"/>
            </w:pPr>
            <w:r w:rsidRPr="00DD363D">
              <w:t>Likuma “Par Valsts ieņēmumu dienestu” 14. pantā Valsts ieņēmumu dienesta Nodokļu un muitas policijas pārvaldei ir noteikti vairāki specifiski uzdevumi likumpārkāpumu atklāšanā valsts ieņēmumu un muitas lietu jomā:</w:t>
            </w:r>
          </w:p>
          <w:p w:rsidR="00FB29A6" w:rsidRPr="00DD363D" w:rsidRDefault="00FB29A6" w:rsidP="00E41BCD">
            <w:pPr>
              <w:jc w:val="both"/>
            </w:pPr>
            <w:r w:rsidRPr="00DD363D">
              <w:t>•</w:t>
            </w:r>
            <w:r w:rsidRPr="00DD363D">
              <w:tab/>
              <w:t xml:space="preserve">veikt likumā noteikto operatīvo darbību, </w:t>
            </w:r>
            <w:r w:rsidRPr="00DD363D">
              <w:lastRenderedPageBreak/>
              <w:t>lai atklātu un novērstu noziedzīgus nodarījumus valsts ieņēmumu jomā;</w:t>
            </w:r>
          </w:p>
          <w:p w:rsidR="00FB29A6" w:rsidRPr="00DD363D" w:rsidRDefault="00FB29A6" w:rsidP="00E41BCD">
            <w:pPr>
              <w:jc w:val="both"/>
            </w:pPr>
            <w:r w:rsidRPr="00DD363D">
              <w:t>•</w:t>
            </w:r>
            <w:r w:rsidRPr="00DD363D">
              <w:tab/>
              <w:t>veikt izmeklēšanu krimināllietās par noziedzīgiem nodarījumiem, kas konstatēti valsts ieņēmumu jomā;</w:t>
            </w:r>
          </w:p>
          <w:p w:rsidR="00FB29A6" w:rsidRPr="00DD363D" w:rsidRDefault="00FB29A6" w:rsidP="00E41BCD">
            <w:pPr>
              <w:jc w:val="both"/>
            </w:pPr>
            <w:r w:rsidRPr="00DD363D">
              <w:t>•</w:t>
            </w:r>
            <w:r w:rsidRPr="00DD363D">
              <w:tab/>
              <w:t>pildīt starptautiskās saistības, kuras valsts uzņēmusies attiecībā uz muitas lietu jomu;</w:t>
            </w:r>
          </w:p>
          <w:p w:rsidR="00FB29A6" w:rsidRPr="00DD363D" w:rsidRDefault="00FB29A6" w:rsidP="00E41BCD">
            <w:pPr>
              <w:jc w:val="both"/>
            </w:pPr>
            <w:r w:rsidRPr="00DD363D">
              <w:t>•</w:t>
            </w:r>
            <w:r w:rsidRPr="00DD363D">
              <w:tab/>
              <w:t>veikt izmeklēšanu lietās par noziedzīgiem nodarījumiem muitas lietu jomā un likumā noteikto operatīvo darbību, lai atklātu un novērstu noziedzīgus nodarījumus muitas lietu jomā;</w:t>
            </w:r>
          </w:p>
          <w:p w:rsidR="00FB29A6" w:rsidRPr="00DD363D" w:rsidRDefault="00FB29A6" w:rsidP="00E41BCD">
            <w:pPr>
              <w:jc w:val="both"/>
            </w:pPr>
            <w:r w:rsidRPr="00DD363D">
              <w:t>•</w:t>
            </w:r>
            <w:r w:rsidRPr="00DD363D">
              <w:tab/>
              <w:t>ja nepieciešams, nodrošināt Valsts ieņēmumu dienesta ierēdņu (darbinieku) apsardzi sakarā ar viņu veicamajiem pienākumiem un to objektu apsardzi, kuros viņi atrodas.</w:t>
            </w:r>
          </w:p>
          <w:p w:rsidR="00FB29A6" w:rsidRPr="00DD363D" w:rsidRDefault="00FB29A6" w:rsidP="00E41BCD">
            <w:pPr>
              <w:jc w:val="both"/>
            </w:pPr>
            <w:r w:rsidRPr="00DD363D">
              <w:t xml:space="preserve">Lai sekmīgi pildītu minētos uzdevumus, ir jāņem vērā, ka Valsts ieņēmumu dienesta Nodokļu un muitas policijas pārvaldes struktūrvienībās nodarbinātie veic funkcijas, kuru pārtraukšana var ietekmēt un radīt būtiskus draudus valsts ekonomiskajai un sabiedrības drošībai, kā arī labklājībai.  </w:t>
            </w:r>
          </w:p>
          <w:p w:rsidR="00FB29A6" w:rsidRPr="00DD363D" w:rsidRDefault="00FB29A6" w:rsidP="00E41BCD">
            <w:pPr>
              <w:jc w:val="both"/>
            </w:pPr>
            <w:r w:rsidRPr="00DD363D">
              <w:t>Valsts ieņēmumu dienesta ieskatā nav iespējams noteikt minimālo darba apjomu (t.</w:t>
            </w:r>
            <w:r>
              <w:t> </w:t>
            </w:r>
            <w:r w:rsidRPr="00DD363D">
              <w:t xml:space="preserve">sk. atsevišķus amatus), kas varētu tikt veikts streika gadījumā, jo Valsts ieņēmumu dienesta Nodokļu un muitas policijas pārvaldes noteikto uzdevumu izpilde tiek nodrošināta nepārtrauktas un savstarpēji pakārtotas struktūrvienību sadarbības rezultātā. </w:t>
            </w:r>
          </w:p>
          <w:p w:rsidR="00FB29A6" w:rsidRPr="00DD363D" w:rsidRDefault="00FB29A6" w:rsidP="00E41BCD">
            <w:pPr>
              <w:jc w:val="both"/>
            </w:pPr>
            <w:r>
              <w:lastRenderedPageBreak/>
              <w:t>Lai a</w:t>
            </w:r>
            <w:r w:rsidRPr="00DD363D">
              <w:t>tklā</w:t>
            </w:r>
            <w:r>
              <w:t>tu</w:t>
            </w:r>
            <w:r w:rsidRPr="00DD363D">
              <w:t xml:space="preserve"> un novēr</w:t>
            </w:r>
            <w:r>
              <w:t>stu</w:t>
            </w:r>
            <w:r w:rsidRPr="00DD363D">
              <w:t xml:space="preserve"> noziedzīgus nodarījumus valsts ieņēmumu un muitas lietu jomā, ir ļoti būtisk</w:t>
            </w:r>
            <w:r>
              <w:t>i</w:t>
            </w:r>
            <w:r w:rsidRPr="00DD363D">
              <w:t xml:space="preserve"> kvalitatīv</w:t>
            </w:r>
            <w:r>
              <w:t>i veikt</w:t>
            </w:r>
            <w:r w:rsidRPr="00DD363D">
              <w:t xml:space="preserve"> </w:t>
            </w:r>
            <w:proofErr w:type="spellStart"/>
            <w:r w:rsidRPr="00DD363D">
              <w:t>kriminālizlūkošanas</w:t>
            </w:r>
            <w:proofErr w:type="spellEnd"/>
            <w:r w:rsidRPr="00DD363D">
              <w:t xml:space="preserve"> un operatīv</w:t>
            </w:r>
            <w:r>
              <w:t>ās</w:t>
            </w:r>
            <w:r w:rsidRPr="00DD363D">
              <w:t xml:space="preserve"> darbīb</w:t>
            </w:r>
            <w:r>
              <w:t>as</w:t>
            </w:r>
            <w:r w:rsidRPr="00DD363D">
              <w:t xml:space="preserve"> un operatīvā ceļā iegūtās informācijas analīz</w:t>
            </w:r>
            <w:r>
              <w:t>i</w:t>
            </w:r>
            <w:r w:rsidRPr="00DD363D">
              <w:t>, uzkrāšan</w:t>
            </w:r>
            <w:r>
              <w:t>u</w:t>
            </w:r>
            <w:r w:rsidRPr="00DD363D">
              <w:t>, apkopošan</w:t>
            </w:r>
            <w:r>
              <w:t>u</w:t>
            </w:r>
            <w:r w:rsidRPr="00DD363D">
              <w:t xml:space="preserve"> un novērtēšan</w:t>
            </w:r>
            <w:r>
              <w:t>u</w:t>
            </w:r>
            <w:r w:rsidRPr="00DD363D">
              <w:t>, ko nodrošina Valsts ieņēmumu dienesta Nodokļu un muitas policijas pārvaldes Finanšu izlūkošanas daļa, Muitas lietu izlūkošanas daļa un Izlūkošanas analītiskā daļa. Vienlaikus muitas lietu jomā ir ļoti svarīga informācijas un atbalsta nodrošināšana diennakts režīmā (24/7) Latvijas un ārvalstu muitas struktūrvienībām, tai skaitā starptautiskajām organizācijām, kā arī starptautiskajām muitas operācijām, kas ietilpst Valsts ieņēmumu dienesta Nodokļu un muitas policijas pārvaldes Sadarbības daļas un Taktisko uzdevumu daļas kompetencē. Papildus tam, lai tiktu nodrošināta efektīva citu specifisku procesu izpilde, tiek iesaistītas arī vairākas citas struktūrvienības –</w:t>
            </w:r>
            <w:r>
              <w:t xml:space="preserve"> </w:t>
            </w:r>
            <w:r w:rsidRPr="00DD363D">
              <w:t xml:space="preserve">piemēram, Valsts ieņēmumu dienesta Nodokļu un muitas policijas pārvaldes Specializēto uzdevumu daļa nodrošina operatīvās darbības pasākumu izpildi IT jomā vai izmantojot tehniskos līdzekļus, kā arī nepieciešamības gadījumā veic slēpto novērošanu, savukārt Valsts ieņēmumu dienesta Nodokļu un muitas policijas pārvaldes Taktisko uzdevumu daļas amatpersonas nodrošina kriminālprocesā meklējamo personu atrašanu, veic efektīvus kontroles pasākumus un procesuālās darbības, nodrošina Valsts ieņēmumu dienesta ierēdņu un darbinieku </w:t>
            </w:r>
            <w:r w:rsidRPr="00DD363D">
              <w:lastRenderedPageBreak/>
              <w:t xml:space="preserve">apsardzi, kā arī viņu atrašanās vietu apsardzi atbilstoši nepieciešamībai. </w:t>
            </w:r>
          </w:p>
          <w:p w:rsidR="00FB29A6" w:rsidRPr="00DD363D" w:rsidRDefault="00FB29A6" w:rsidP="00E41BCD">
            <w:pPr>
              <w:jc w:val="both"/>
            </w:pPr>
            <w:r w:rsidRPr="00DD363D">
              <w:t xml:space="preserve">Vienlaikus pamatdarbības procesu īstenošanai ir būtiski svarīga arī atbalsta funkciju nodrošināšana, piemēram, Valsts ieņēmumu dienesta Nodokļu un muitas policijas pārvaldes Sadarbības daļa nodrošina kriminālprocesuālo dokumentu uzskaiti, Slepenības režīma nodrošināšanas un informācijas tehnoloģiju atbalsta daļa nodrošina slepenības režīma, valsts noslēpuma objektu, Ziemeļatlantijas Līguma organizāciju, Eiropas </w:t>
            </w:r>
            <w:r>
              <w:t>S</w:t>
            </w:r>
            <w:r w:rsidRPr="00DD363D">
              <w:t xml:space="preserve">avienības klasificētās informācijas un informācijas dienesta vajadzībām aizsardzību un nodrošina informācijas sistēmu darbību atbilstoši normatīvajiem aktiem un Valsts ieņēmumu dienesta izvirzītajām prasībām, lietotāju darbības nepārtrauktību, informācijas un komunikācijas tehnoloģiju infrastruktūras attīstības pasākumu plānošanu un īstenošanu atbilstoši normatīvo aktu prasībām. Savukārt Valsts ieņēmumu dienesta Nodokļu un muitas policijas pārvaldes Administratīvās vadības daļa </w:t>
            </w:r>
            <w:r>
              <w:t>nodrošina</w:t>
            </w:r>
            <w:r w:rsidRPr="00DD363D">
              <w:t xml:space="preserve"> operatīvu Valsts ieņēmumu dienesta Nodokļu un muitas policijas pārvaldes struktūrvienību dokumentu apriti, sistematizēšanu un glabāšanu.</w:t>
            </w:r>
          </w:p>
          <w:p w:rsidR="00FB29A6" w:rsidRPr="00DD363D" w:rsidRDefault="00FB29A6" w:rsidP="00E41BCD">
            <w:pPr>
              <w:jc w:val="both"/>
            </w:pPr>
            <w:r w:rsidRPr="00DD363D">
              <w:t xml:space="preserve">Lai veiktu efektīvu un profesionālu </w:t>
            </w:r>
            <w:proofErr w:type="spellStart"/>
            <w:r w:rsidRPr="00DD363D">
              <w:t>pirmstiesas</w:t>
            </w:r>
            <w:proofErr w:type="spellEnd"/>
            <w:r w:rsidRPr="00DD363D">
              <w:t xml:space="preserve"> kriminālprocesu izmeklēšanu valsts ieņēmumu un muitas lietu jomā, ko nodrošina Valsts ieņēmumu dienesta Nodokļu un muitas policijas pārvaldes izmeklēšanas struktūrvienību amatpersonas, ir būtiska visu </w:t>
            </w:r>
            <w:r w:rsidRPr="00DD363D">
              <w:lastRenderedPageBreak/>
              <w:t>Valsts ieņēmumu dienesta Nodokļu un muitas policijas pārvaldes struktūrvienību iesaiste. 2020. gada divpadsmit mēnešu laikā Valsts ieņēmumu dienesta Nodokļu un muitas policijas pārvalde kriminālvajāšanas uzsākšanai kopumā ir nosūtījusi 279</w:t>
            </w:r>
            <w:r>
              <w:t> </w:t>
            </w:r>
            <w:r w:rsidRPr="00DD363D">
              <w:t>kriminālprocesus. Kriminālvajāšanas uzsākšanai nosūtītajos kriminālprocesos konstatētais valstij nodarītais zaudējumu apjoms ir 12</w:t>
            </w:r>
            <w:r>
              <w:t> </w:t>
            </w:r>
            <w:r w:rsidRPr="00DD363D">
              <w:t>340</w:t>
            </w:r>
            <w:r>
              <w:t> </w:t>
            </w:r>
            <w:r w:rsidRPr="00DD363D">
              <w:t>994</w:t>
            </w:r>
            <w:r>
              <w:t> </w:t>
            </w:r>
            <w:r w:rsidRPr="00DD363D">
              <w:t xml:space="preserve">EUR, savukārt novērstais kaitējums </w:t>
            </w:r>
            <w:r>
              <w:t>(</w:t>
            </w:r>
            <w:r w:rsidRPr="00DD363D">
              <w:t>gadījumos, kad to ir iespējams aprēķināt</w:t>
            </w:r>
            <w:r>
              <w:t>)</w:t>
            </w:r>
            <w:r w:rsidRPr="00DD363D">
              <w:t xml:space="preserve"> ir nosakāms 1</w:t>
            </w:r>
            <w:r>
              <w:t> </w:t>
            </w:r>
            <w:r w:rsidRPr="00DD363D">
              <w:t>211</w:t>
            </w:r>
            <w:r>
              <w:t> </w:t>
            </w:r>
            <w:r w:rsidRPr="00DD363D">
              <w:t>984</w:t>
            </w:r>
            <w:r>
              <w:t> </w:t>
            </w:r>
            <w:r w:rsidRPr="00DD363D">
              <w:t>EUR apmērā. Norādītajā periodā ir atklāta un pārtraukta 18</w:t>
            </w:r>
            <w:r>
              <w:t> </w:t>
            </w:r>
            <w:r w:rsidRPr="00DD363D">
              <w:t>organizētu noziedzīgu grupējumu darbība –</w:t>
            </w:r>
            <w:r>
              <w:t xml:space="preserve"> deviņi</w:t>
            </w:r>
            <w:r w:rsidRPr="00DD363D">
              <w:t xml:space="preserve"> grupējumi darbojās muitas lietu jomā</w:t>
            </w:r>
            <w:r>
              <w:t>,</w:t>
            </w:r>
            <w:r w:rsidRPr="00DD363D">
              <w:t xml:space="preserve"> un </w:t>
            </w:r>
            <w:r>
              <w:t>deviņi</w:t>
            </w:r>
            <w:r w:rsidRPr="00DD363D">
              <w:t xml:space="preserve"> grupējumi </w:t>
            </w:r>
            <w:r>
              <w:t>–</w:t>
            </w:r>
            <w:r w:rsidRPr="00DD363D">
              <w:t xml:space="preserve"> valsts ieņēmumu jomā. Turklāt 1</w:t>
            </w:r>
            <w:r>
              <w:t> </w:t>
            </w:r>
            <w:r w:rsidRPr="00DD363D">
              <w:t>131</w:t>
            </w:r>
            <w:r>
              <w:t> </w:t>
            </w:r>
            <w:r w:rsidRPr="00DD363D">
              <w:t>850</w:t>
            </w:r>
            <w:r>
              <w:t> </w:t>
            </w:r>
            <w:r w:rsidRPr="00DD363D">
              <w:t xml:space="preserve">EUR ir atzīti par noziedzīgi iegūtu mantu un ieskaitāmi valsts budžetā. </w:t>
            </w:r>
          </w:p>
          <w:p w:rsidR="00FB29A6" w:rsidRPr="00DD363D" w:rsidRDefault="00FB29A6" w:rsidP="00E41BCD">
            <w:pPr>
              <w:jc w:val="both"/>
            </w:pPr>
            <w:r w:rsidRPr="00DD363D">
              <w:t>Valsts ieņēmumu dienesta Nodokļu un muitas policijas pārvaldes 87</w:t>
            </w:r>
            <w:r>
              <w:t> </w:t>
            </w:r>
            <w:r w:rsidRPr="00DD363D">
              <w:t>% amatpersonu galvenie amata pienākumi ir tieši saistīti ar noziedzīgu nodarījumu atklāšanu un novēršanu valsts ieņēmumu un muitas lietu jomā, bet veiksmīg</w:t>
            </w:r>
            <w:r>
              <w:t>ā</w:t>
            </w:r>
            <w:r w:rsidRPr="00DD363D">
              <w:t>, efektīv</w:t>
            </w:r>
            <w:r>
              <w:t>ā</w:t>
            </w:r>
            <w:r w:rsidRPr="00DD363D">
              <w:t xml:space="preserve"> un uz rezultātu orientēt</w:t>
            </w:r>
            <w:r>
              <w:t>ā</w:t>
            </w:r>
            <w:r w:rsidRPr="00DD363D">
              <w:t xml:space="preserve"> pamatdarbības funkciju nodrošināšan</w:t>
            </w:r>
            <w:r>
              <w:t>ā</w:t>
            </w:r>
            <w:r w:rsidRPr="00DD363D">
              <w:t xml:space="preserve"> būtiski liela ietekme </w:t>
            </w:r>
            <w:r>
              <w:t xml:space="preserve">ir </w:t>
            </w:r>
            <w:r w:rsidRPr="00DD363D">
              <w:t>atbalsta funkciju struktūrvienību sniegtajam ieguldījumam un darba kvalitātei. T</w:t>
            </w:r>
            <w:r>
              <w:t>ā</w:t>
            </w:r>
            <w:r w:rsidRPr="00DD363D">
              <w:t xml:space="preserve">dēļ sekmīgas un efektīvas tiesībaizsardzības iestādes pamatdarbības funkciju nodrošināšanas pamatā ir mērķtiecīga struktūrvienību savstarpējā sadarbība. </w:t>
            </w:r>
          </w:p>
          <w:p w:rsidR="00FB29A6" w:rsidRPr="00DD363D" w:rsidRDefault="00FB29A6" w:rsidP="00E41BCD">
            <w:pPr>
              <w:jc w:val="both"/>
            </w:pPr>
            <w:r w:rsidRPr="00DD363D">
              <w:t xml:space="preserve">Streiku likuma 16. pantā ir noteikts, ka streikot ir aizliegts tiesnešiem, prokuroriem, policijas </w:t>
            </w:r>
            <w:r w:rsidRPr="00DD363D">
              <w:lastRenderedPageBreak/>
              <w:t>darbiniekiem, ugunsdrošības, ugunsdzēsības un glābšanas dienestu darbiniekiem, robežsargiem, valsts drošības iestāžu darbiniekiem, ieslodzījuma vietu uzraugiem un personām, kas dienē Nacionālajos bruņotajos spēkos. Atbilstoši likum</w:t>
            </w:r>
            <w:r>
              <w:t>a</w:t>
            </w:r>
            <w:r w:rsidRPr="00DD363D">
              <w:t xml:space="preserve"> “Par policiju” 3. pantā noteiktajam policijas uzdevumi ir novērst noziedzīgus nodarījumus un citus likumpārkāpumus un atklāt noziedzīgus nodarījumus, meklēt personas, kas izdarījušas noziedzīgus nodarījumus, </w:t>
            </w:r>
            <w:r>
              <w:t>un t</w:t>
            </w:r>
            <w:r w:rsidRPr="00DD363D">
              <w:t>as salīdzināms ar likum</w:t>
            </w:r>
            <w:r>
              <w:t>a</w:t>
            </w:r>
            <w:r w:rsidRPr="00DD363D">
              <w:t xml:space="preserve"> “Par Valsts ieņēmumu dienestu” 14. pantā noteiktajiem Valsts ieņēmumu dienesta Nodokļu un muitas policijas pārvaldes uzdevumiem.</w:t>
            </w:r>
          </w:p>
          <w:p w:rsidR="00FB29A6" w:rsidRPr="00DD363D" w:rsidRDefault="00FB29A6" w:rsidP="00CC256E">
            <w:pPr>
              <w:ind w:firstLine="527"/>
              <w:jc w:val="both"/>
            </w:pPr>
            <w:r w:rsidRPr="00DD363D">
              <w:t>Ņemot vērā izklāstītos argumentus,</w:t>
            </w:r>
            <w:r>
              <w:t xml:space="preserve"> secināms, ka</w:t>
            </w:r>
            <w:r w:rsidRPr="00DD363D">
              <w:t xml:space="preserve"> Valsts ieņēmumu dienesta Nodokļu un muitas policijas pārvalde un tās nodarbinātie ir iekļaujami Streiku likuma 16.</w:t>
            </w:r>
            <w:r>
              <w:t> </w:t>
            </w:r>
            <w:r w:rsidRPr="00DD363D">
              <w:t xml:space="preserve">pantā līdzās citu tiesībaizsardzības iestāžu amatpersonām. </w:t>
            </w:r>
            <w:r w:rsidRPr="00DD363D">
              <w:rPr>
                <w:sz w:val="28"/>
                <w:szCs w:val="28"/>
              </w:rPr>
              <w:t>I</w:t>
            </w:r>
            <w:r w:rsidRPr="00DD363D">
              <w:t>zvērtējot Valsts ieņēmumu dienesta Muitas pārvaldes funkcijas, konstatēts, ka Muitas pārvalde arī atsevišķās struktūrvienībās nodarbināto streika gadījumā nevarētu nodrošināt muitai noteikto funkciju izpildi, jo muita būtībā ir komplicēta struktūra, kurā katrs tās element</w:t>
            </w:r>
            <w:r>
              <w:t>s</w:t>
            </w:r>
            <w:r w:rsidRPr="00DD363D">
              <w:t xml:space="preserve"> nodrošina tādu funkciju izpildi, no kurām ir tieši atkarīga citu elementu funkciju izpilde</w:t>
            </w:r>
            <w:r>
              <w:t>.</w:t>
            </w:r>
            <w:r w:rsidRPr="00DD363D">
              <w:t xml:space="preserve"> </w:t>
            </w:r>
            <w:r>
              <w:t>T</w:t>
            </w:r>
            <w:r w:rsidRPr="00DD363D">
              <w:t xml:space="preserve">ādējādi, lai kopumā nodrošinātu muitas funkcijas, ir nepieciešams, lai šo funkciju nodrošināšanā bez kavēkļiem piedalītos visās Muitas pārvaldes struktūrvienībās nodarbinātie. Piemēram, lai </w:t>
            </w:r>
            <w:r w:rsidRPr="00DD363D">
              <w:lastRenderedPageBreak/>
              <w:t xml:space="preserve">nodrošinātu muitas kontroli attiecībā uz personām, kuras ieceļo </w:t>
            </w:r>
            <w:r>
              <w:t>Latvijas Republikā</w:t>
            </w:r>
            <w:r w:rsidRPr="00DD363D">
              <w:t xml:space="preserve"> vai izceļo no</w:t>
            </w:r>
            <w:r>
              <w:t xml:space="preserve"> tās</w:t>
            </w:r>
            <w:r w:rsidRPr="00DD363D">
              <w:t>, tādā apjomā, kas nepasliktina šo personu stāvokli salīdzinājumā ar stāvokli, kad streiks nenotiek, kā arī nodrošinātu, piemēram, Muitas likuma 19.</w:t>
            </w:r>
            <w:r w:rsidRPr="00DD363D">
              <w:rPr>
                <w:vertAlign w:val="superscript"/>
              </w:rPr>
              <w:t>1</w:t>
            </w:r>
            <w:r w:rsidRPr="00DD363D">
              <w:t> pantā minēto muitošanu, tādu preču muitošana, kuras ieved Latvijas Republikā vai izved no tās saistībā ar ārkārt</w:t>
            </w:r>
            <w:r>
              <w:t>ēju</w:t>
            </w:r>
            <w:r w:rsidRPr="00DD363D">
              <w:t xml:space="preserve"> situāciju, katastrofu seku novēršanu, personu glābšanu, stihiskām nelaimēm, humanitāro krīzi, vienlaikus nodrošinot, ka muitas kontrole notiek pilnvērtīgi attiecībā uz iespējamajiem riskiem sabiedrības drošumam un drošībai, ir nepieciešams, lai tiešos pienākumus pilnā apjomā veiktu arī citās Muitas pārvaldes struktūrvienībās nodarbinātie, ne </w:t>
            </w:r>
            <w:r>
              <w:t>tikai</w:t>
            </w:r>
            <w:r w:rsidRPr="00DD363D">
              <w:t xml:space="preserve"> tieši Muitas pārvaldes muitas kontroles punktā, caur kuru persona ieceļo Latvijas Republikā vai izceļo no tās vai caur kuru tiek pārvietotas attiecīgās preces. Būtiski ir  nodrošināt Muitas pārvaldē izmantoto IT sistēmu darbību (sistēmu atteikumu gadījumā var tikt paralizēts muitas darbs), muitas procedūru izpildes uzraudzību (nepietiekamas uzraudzības gadījumā Latvijas Republikai varētu rasties finansiālas saistības attiecībā pret Eiropas Savienības budžetu), </w:t>
            </w:r>
            <w:r>
              <w:t xml:space="preserve">Eiropas </w:t>
            </w:r>
            <w:r w:rsidRPr="00DD363D">
              <w:t xml:space="preserve">Savienības un nacionālo muitas risku vadību, juridisko atbalstu, tarifu kvotu administrēšanu, maksājumu administrēšanu. Īpaši ņemams vērā, ka uz muitošanai pakļautu preču pārvietošanu attiecas visā Eiropas Savienībā tieši piemērojamas tiesību normas un muitas amatpersonas lēmuma kavēta </w:t>
            </w:r>
            <w:r w:rsidRPr="00DD363D">
              <w:lastRenderedPageBreak/>
              <w:t>pieņemšana var ietekmēt citas Eiropas Savienības valsts muitas dienesta darbību (piemēram, tranzīta procedūras izpildes uzraudzīb</w:t>
            </w:r>
            <w:r>
              <w:t>u</w:t>
            </w:r>
            <w:r w:rsidRPr="00DD363D">
              <w:t>).”</w:t>
            </w:r>
          </w:p>
          <w:p w:rsidR="00FB29A6" w:rsidRPr="00DD363D" w:rsidRDefault="00FB29A6" w:rsidP="00CC256E">
            <w:pPr>
              <w:jc w:val="both"/>
            </w:pPr>
          </w:p>
        </w:tc>
      </w:tr>
      <w:bookmarkEnd w:id="3"/>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pPr>
            <w:r>
              <w:lastRenderedPageBreak/>
              <w:t>7</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D4181C">
            <w:pPr>
              <w:jc w:val="both"/>
            </w:pPr>
            <w:r w:rsidRPr="00DD363D">
              <w:t>Likumprojekta anotācija</w:t>
            </w:r>
          </w:p>
        </w:tc>
        <w:tc>
          <w:tcPr>
            <w:tcW w:w="3969" w:type="dxa"/>
            <w:gridSpan w:val="2"/>
            <w:tcBorders>
              <w:left w:val="single" w:sz="6" w:space="0" w:color="000000"/>
              <w:bottom w:val="single" w:sz="4" w:space="0" w:color="auto"/>
              <w:right w:val="single" w:sz="6" w:space="0" w:color="000000"/>
            </w:tcBorders>
          </w:tcPr>
          <w:p w:rsidR="00FB29A6" w:rsidRPr="00DD363D" w:rsidRDefault="00FB29A6" w:rsidP="00334476">
            <w:pPr>
              <w:pStyle w:val="naisc"/>
              <w:jc w:val="both"/>
              <w:rPr>
                <w:b/>
              </w:rPr>
            </w:pPr>
            <w:r w:rsidRPr="00DD363D">
              <w:rPr>
                <w:b/>
              </w:rPr>
              <w:t>Tieslietu ministrijas 24.04.2020. iebildums</w:t>
            </w:r>
          </w:p>
          <w:p w:rsidR="00FB29A6" w:rsidRPr="00DD363D" w:rsidRDefault="00FB29A6" w:rsidP="00C01623">
            <w:pPr>
              <w:pStyle w:val="naisc"/>
              <w:jc w:val="both"/>
            </w:pPr>
            <w:r w:rsidRPr="00DD363D">
              <w:t xml:space="preserve">Lūdzam aizpildīt anotācijas V sadaļu, izvērtējot projekta ietekmi uz Latvijas starptautiskajām saistībām (piemēram, tām saistībām, kas izriet no Eiropas Sociālās hartas 6. panta 4. punkta vai Apvienoto Nāciju Organizācijas 1966. gada Starptautiskā </w:t>
            </w:r>
            <w:proofErr w:type="spellStart"/>
            <w:r w:rsidRPr="00DD363D">
              <w:t>pakta</w:t>
            </w:r>
            <w:proofErr w:type="spellEnd"/>
            <w:r w:rsidRPr="00DD363D">
              <w:t xml:space="preserve"> par ekonomiskajām, sociālajām un kultūras tiesībām 8. panta "d" punkta). Tai skaitā atbilstoši MK instrukcijas Nr. 19 57.3. apakšpunktam lūdzam izvērtēt projekta atbilstību tiesu judikatūrai, kas interpretē attiecīgos starptautiskos dokumentus.</w:t>
            </w:r>
          </w:p>
          <w:p w:rsidR="00FB29A6" w:rsidRPr="00DD363D" w:rsidRDefault="00FB29A6" w:rsidP="00334476">
            <w:pPr>
              <w:pStyle w:val="naisc"/>
              <w:jc w:val="both"/>
            </w:pPr>
            <w:r w:rsidRPr="00DD363D">
              <w:t>Vienlaikus, tā kā projekts skar Latvijas Republikas starptautiskās saistības, lūdzam atbilstoši Ministru kabineta 7.04.2009. noteikumu Nr. 300 "Ministru kabineta kārtības rullis" 91.4. apakšpunktam iesaistīt projekta saskaņošanā arī Ārlietu ministriju.</w:t>
            </w:r>
          </w:p>
        </w:tc>
        <w:tc>
          <w:tcPr>
            <w:tcW w:w="3544" w:type="dxa"/>
            <w:gridSpan w:val="2"/>
            <w:tcBorders>
              <w:left w:val="single" w:sz="6" w:space="0" w:color="000000"/>
              <w:bottom w:val="single" w:sz="4" w:space="0" w:color="auto"/>
              <w:right w:val="single" w:sz="6" w:space="0" w:color="000000"/>
            </w:tcBorders>
          </w:tcPr>
          <w:p w:rsidR="00FB29A6" w:rsidRPr="00DD363D" w:rsidRDefault="00FB29A6" w:rsidP="00E13C28">
            <w:pPr>
              <w:spacing w:before="40" w:after="40"/>
              <w:rPr>
                <w:b/>
              </w:rPr>
            </w:pPr>
            <w:r w:rsidRPr="00DD363D">
              <w:rPr>
                <w:b/>
              </w:rPr>
              <w:t>Iebildums ņemts vērā</w:t>
            </w:r>
          </w:p>
          <w:p w:rsidR="00FB29A6" w:rsidRPr="00DD363D" w:rsidRDefault="00FB29A6" w:rsidP="0041385D">
            <w:pPr>
              <w:jc w:val="both"/>
            </w:pPr>
            <w:r w:rsidRPr="00DD363D">
              <w:t>Likumprojekta saskaņošanā tiks iesaistīta Ārlietu ministrija.</w:t>
            </w:r>
          </w:p>
          <w:p w:rsidR="00FB29A6" w:rsidRPr="00DD363D" w:rsidRDefault="00FB29A6" w:rsidP="00E13C28">
            <w:pPr>
              <w:spacing w:before="40" w:after="40"/>
              <w:jc w:val="both"/>
              <w:rPr>
                <w:b/>
              </w:rPr>
            </w:pPr>
            <w:r w:rsidRPr="00DD363D">
              <w:t>Ņemot vērā, ka nav atrodama tiesu judikatūra par starptautiska dokumenta interpretāciju attiecībā uz ierobežojumiem streikot noteiktai ierēdņu grupai, anotācija ar informāciju par tiesu judikatūru par starptautiska dokumenta interpretāciju attiecībā uz ierobežojumiem streikot noteiktai ierēdņu grupai nav papildināta.</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3A180A">
            <w:pPr>
              <w:ind w:firstLine="527"/>
              <w:jc w:val="both"/>
            </w:pPr>
            <w:r w:rsidRPr="00DD363D">
              <w:t>Papildināta likumprojekta anotācija ar V sadaļu “Tiesību akta projekta atbilstība Latvijas Republikas starptautiskajām saistībām”</w:t>
            </w:r>
            <w:r w:rsidRPr="00DD363D" w:rsidDel="00E75A29">
              <w:t xml:space="preserve"> </w:t>
            </w:r>
            <w:r w:rsidRPr="00DD363D">
              <w:t>ar informāciju par projekta ietekmi uz Latvijas starptautiskajām saistībām (sk. likumprojekta anotācij</w:t>
            </w:r>
            <w:r>
              <w:t>u</w:t>
            </w:r>
            <w:r w:rsidRPr="00DD363D">
              <w:t>)</w:t>
            </w:r>
            <w:r>
              <w:t>.</w:t>
            </w:r>
          </w:p>
          <w:p w:rsidR="00FB29A6" w:rsidRPr="00DD363D" w:rsidRDefault="00FB29A6" w:rsidP="00B91449">
            <w:pPr>
              <w:jc w:val="both"/>
            </w:pPr>
          </w:p>
        </w:tc>
      </w:tr>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D4181C">
            <w:pPr>
              <w:pStyle w:val="naisc"/>
              <w:spacing w:before="0" w:after="0"/>
            </w:pPr>
            <w:r>
              <w:t>8</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D4181C">
            <w:pPr>
              <w:jc w:val="both"/>
            </w:pPr>
            <w:r w:rsidRPr="00DD363D">
              <w:t>Likumprojekta anotācija</w:t>
            </w:r>
          </w:p>
        </w:tc>
        <w:tc>
          <w:tcPr>
            <w:tcW w:w="3969" w:type="dxa"/>
            <w:gridSpan w:val="2"/>
            <w:tcBorders>
              <w:left w:val="single" w:sz="6" w:space="0" w:color="000000"/>
              <w:bottom w:val="single" w:sz="4" w:space="0" w:color="auto"/>
              <w:right w:val="single" w:sz="6" w:space="0" w:color="000000"/>
            </w:tcBorders>
          </w:tcPr>
          <w:p w:rsidR="00FB29A6" w:rsidRPr="00DD363D" w:rsidRDefault="00FB29A6" w:rsidP="00B2246E">
            <w:pPr>
              <w:pStyle w:val="naisc"/>
              <w:jc w:val="both"/>
              <w:rPr>
                <w:b/>
              </w:rPr>
            </w:pPr>
            <w:r w:rsidRPr="00DD363D">
              <w:rPr>
                <w:b/>
              </w:rPr>
              <w:t>Tieslietu ministrijas 24.04.2020. iebildums</w:t>
            </w:r>
          </w:p>
          <w:p w:rsidR="00FB29A6" w:rsidRPr="00DD363D" w:rsidRDefault="00FB29A6" w:rsidP="00B43F7F">
            <w:pPr>
              <w:widowControl w:val="0"/>
              <w:tabs>
                <w:tab w:val="left" w:pos="993"/>
              </w:tabs>
              <w:suppressAutoHyphens/>
              <w:contextualSpacing/>
              <w:jc w:val="both"/>
              <w:rPr>
                <w:rFonts w:eastAsia="Calibri"/>
                <w:lang w:eastAsia="en-US"/>
              </w:rPr>
            </w:pPr>
            <w:r w:rsidRPr="00DD363D">
              <w:rPr>
                <w:rFonts w:eastAsia="Calibri"/>
                <w:lang w:eastAsia="en-US"/>
              </w:rPr>
              <w:t xml:space="preserve">Valsts pārvaldes iekārtas likuma </w:t>
            </w:r>
            <w:r w:rsidRPr="00DD363D">
              <w:rPr>
                <w:rFonts w:eastAsia="Calibri"/>
                <w:lang w:eastAsia="en-US"/>
              </w:rPr>
              <w:lastRenderedPageBreak/>
              <w:t xml:space="preserve">10. panta septītā daļa paredz valsts pārvaldes pienākumu informēt sabiedrību par savu darbību. </w:t>
            </w:r>
            <w:r w:rsidRPr="00DD363D">
              <w:rPr>
                <w:rFonts w:eastAsia="Calibri"/>
                <w:u w:val="single"/>
                <w:lang w:eastAsia="en-US"/>
              </w:rPr>
              <w:t xml:space="preserve">Tas attiecas it īpaši uz to sabiedrības daļu </w:t>
            </w:r>
            <w:r w:rsidRPr="00DD363D">
              <w:rPr>
                <w:rFonts w:eastAsia="Calibri"/>
                <w:lang w:eastAsia="en-US"/>
              </w:rPr>
              <w:t>un tām privātpersonām, kuru tiesības vai tiesiskās intereses īstenotā vai plānotā darbība skar vai var skart. Tāpat arī Ministru kabineta 2009. gada 25. augusta noteikumu Nr. 970 "Sabiedrības līdzdalības kārtība attīstības plānošanas procesā" 3. punktā noteikts, ka sabiedrības līdzdalību īsteno formālās sabiedrības grupas, piemēram, arodbiedrības, savukārt to pašu noteikumu 5. punktā teiks, ka valsts institūcijai ir jāiesaista sabiedrība to tiesību aktu projektu izstrādē, kas būtiski maina esošo regulējumu vai paredz ieviest jaunas politiskās iniciatīvas.</w:t>
            </w:r>
          </w:p>
          <w:p w:rsidR="00FB29A6" w:rsidRPr="00DD363D" w:rsidRDefault="00FB29A6" w:rsidP="00B43F7F">
            <w:pPr>
              <w:widowControl w:val="0"/>
              <w:tabs>
                <w:tab w:val="left" w:pos="993"/>
              </w:tabs>
              <w:suppressAutoHyphens/>
              <w:jc w:val="both"/>
              <w:rPr>
                <w:rFonts w:eastAsia="Calibri"/>
                <w:lang w:eastAsia="en-US"/>
              </w:rPr>
            </w:pPr>
            <w:r w:rsidRPr="00DD363D">
              <w:rPr>
                <w:rFonts w:eastAsia="Calibri"/>
                <w:lang w:eastAsia="en-US"/>
              </w:rPr>
              <w:t>Ņemot vērā minēto, lūdzam iesaistīt projekta saskaņošanā arodbiedrības, kuras pārstāv VID darbinieku intereses, atbilstoši papildinot projekta anotācijas VI sadaļu. Tieslietu ministrijas ieskatā ir būtiski noskaidrot VID darbinieku nodibināto arodbiedrību viedokli par projektu.</w:t>
            </w:r>
          </w:p>
          <w:p w:rsidR="00FB29A6" w:rsidRPr="00DD363D" w:rsidRDefault="00FB29A6" w:rsidP="00B2246E">
            <w:pPr>
              <w:pStyle w:val="naisc"/>
              <w:jc w:val="both"/>
            </w:pPr>
            <w:r w:rsidRPr="00DD363D">
              <w:rPr>
                <w:rFonts w:eastAsia="Calibri"/>
                <w:lang w:eastAsia="en-US"/>
              </w:rPr>
              <w:t xml:space="preserve">Vienlaikus lūdzam precizēt anotācijas VI sadaļas 1. punktu, jo Finanšu ministrijas tīmekļvietnē sadaļā "Sabiedrības līdzdalība" – "Tiesību aktu projekti" – "Nodokļu politika" </w:t>
            </w:r>
            <w:r w:rsidRPr="00DD363D">
              <w:rPr>
                <w:rFonts w:eastAsia="Calibri"/>
                <w:lang w:eastAsia="en-US"/>
              </w:rPr>
              <w:lastRenderedPageBreak/>
              <w:t>projekts neatrodas.</w:t>
            </w:r>
          </w:p>
        </w:tc>
        <w:tc>
          <w:tcPr>
            <w:tcW w:w="3544" w:type="dxa"/>
            <w:gridSpan w:val="2"/>
            <w:tcBorders>
              <w:left w:val="single" w:sz="6" w:space="0" w:color="000000"/>
              <w:bottom w:val="single" w:sz="4" w:space="0" w:color="auto"/>
              <w:right w:val="single" w:sz="6" w:space="0" w:color="000000"/>
            </w:tcBorders>
          </w:tcPr>
          <w:p w:rsidR="00FB29A6" w:rsidRPr="00DD363D" w:rsidRDefault="00FB29A6" w:rsidP="00B2246E">
            <w:pPr>
              <w:spacing w:before="40" w:after="40"/>
              <w:jc w:val="center"/>
              <w:rPr>
                <w:b/>
              </w:rPr>
            </w:pPr>
            <w:r w:rsidRPr="00DD363D">
              <w:rPr>
                <w:b/>
              </w:rPr>
              <w:lastRenderedPageBreak/>
              <w:t>Iebildums ņemts vērā</w:t>
            </w:r>
          </w:p>
          <w:p w:rsidR="00FB29A6" w:rsidRPr="00DD363D" w:rsidRDefault="00FB29A6" w:rsidP="00D4181C">
            <w:pPr>
              <w:spacing w:before="40" w:after="40"/>
              <w:jc w:val="center"/>
              <w:rPr>
                <w:b/>
              </w:rPr>
            </w:pP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32451F">
            <w:pPr>
              <w:jc w:val="both"/>
            </w:pPr>
            <w:r w:rsidRPr="00DD363D">
              <w:t>Precizēta anotācijas VI</w:t>
            </w:r>
            <w:r>
              <w:t> </w:t>
            </w:r>
            <w:r w:rsidRPr="00DD363D">
              <w:t xml:space="preserve">sadaļa un projekts 29.07.2020. tika nosūtīts saskaņošanai Neatkarīgajai muitnieku arodbiedrībai. 14.09.2020. notika Valsts ieņēmumu dienesta, </w:t>
            </w:r>
            <w:r w:rsidRPr="00DD363D">
              <w:lastRenderedPageBreak/>
              <w:t>Valsts ieņēmumu dienesta muitas darbinieku arodbiedrības un Neatkarīgās muitnieku arodbiedrības pārstāvju tikšanās. Valsts ieņēmumu dienests ņēma vērā abu arodbiedrību izteiktos iebildumus un atbilstoši precizēja likumprojekta anotāciju.</w:t>
            </w:r>
          </w:p>
        </w:tc>
      </w:tr>
      <w:tr w:rsidR="00FB29A6" w:rsidRPr="00DD363D" w:rsidTr="00DD1581">
        <w:tc>
          <w:tcPr>
            <w:tcW w:w="709" w:type="dxa"/>
            <w:tcBorders>
              <w:left w:val="single" w:sz="6" w:space="0" w:color="000000"/>
              <w:bottom w:val="single" w:sz="4" w:space="0" w:color="auto"/>
              <w:right w:val="single" w:sz="6" w:space="0" w:color="000000"/>
            </w:tcBorders>
          </w:tcPr>
          <w:p w:rsidR="00FB29A6" w:rsidRPr="00DD363D" w:rsidRDefault="00FB29A6" w:rsidP="00317249">
            <w:pPr>
              <w:pStyle w:val="naisc"/>
              <w:spacing w:before="0" w:after="0"/>
            </w:pPr>
            <w:r>
              <w:lastRenderedPageBreak/>
              <w:t>9</w:t>
            </w:r>
            <w:r w:rsidRPr="00DD363D">
              <w:t>.</w:t>
            </w:r>
          </w:p>
        </w:tc>
        <w:tc>
          <w:tcPr>
            <w:tcW w:w="2268" w:type="dxa"/>
            <w:gridSpan w:val="2"/>
            <w:tcBorders>
              <w:left w:val="single" w:sz="6" w:space="0" w:color="000000"/>
              <w:bottom w:val="single" w:sz="4" w:space="0" w:color="auto"/>
              <w:right w:val="single" w:sz="6" w:space="0" w:color="000000"/>
            </w:tcBorders>
          </w:tcPr>
          <w:p w:rsidR="00FB29A6" w:rsidRPr="00DD363D" w:rsidRDefault="00FB29A6" w:rsidP="00317249">
            <w:pPr>
              <w:jc w:val="both"/>
            </w:pPr>
            <w:r w:rsidRPr="00DD363D">
              <w:t>Likumprojekta anotācija</w:t>
            </w:r>
          </w:p>
        </w:tc>
        <w:tc>
          <w:tcPr>
            <w:tcW w:w="3969" w:type="dxa"/>
            <w:gridSpan w:val="2"/>
            <w:tcBorders>
              <w:left w:val="single" w:sz="6" w:space="0" w:color="000000"/>
              <w:bottom w:val="single" w:sz="4" w:space="0" w:color="auto"/>
              <w:right w:val="single" w:sz="6" w:space="0" w:color="000000"/>
            </w:tcBorders>
          </w:tcPr>
          <w:p w:rsidR="00FB29A6" w:rsidRPr="00DD363D" w:rsidRDefault="00FB29A6" w:rsidP="00317249">
            <w:pPr>
              <w:pStyle w:val="naisc"/>
              <w:jc w:val="both"/>
              <w:rPr>
                <w:b/>
              </w:rPr>
            </w:pPr>
            <w:r w:rsidRPr="00DD363D">
              <w:rPr>
                <w:b/>
              </w:rPr>
              <w:t>Tieslietu ministrijas 24.04.2020. iebildums</w:t>
            </w:r>
          </w:p>
          <w:p w:rsidR="00FB29A6" w:rsidRPr="00DD363D" w:rsidRDefault="00FB29A6" w:rsidP="00C464A1">
            <w:pPr>
              <w:pStyle w:val="naisc"/>
              <w:jc w:val="both"/>
            </w:pPr>
            <w:r w:rsidRPr="00DD363D">
              <w:t>Saskaņā ar MK instrukcijas Nr. 19 65. punktu anotācijas VII sadaļas 1.punktā ("Projekta izpildē iesaistītās institūcijas") norāda institūciju, kas nodrošinās projekta izpildi.</w:t>
            </w:r>
          </w:p>
          <w:p w:rsidR="00FB29A6" w:rsidRPr="00DD363D" w:rsidRDefault="00FB29A6" w:rsidP="00C464A1">
            <w:pPr>
              <w:pStyle w:val="naisc"/>
              <w:jc w:val="both"/>
            </w:pPr>
            <w:r w:rsidRPr="00DD363D">
              <w:t>Lūgums pārliecināties, ka anotācijas VII sadaļas 1. punktā norādītas visas institūcijas, kuras varētu būt iesaistītas šā projekta izpildes nodrošināšanā saskaņā ar Streiku likumā paredzēto regulējumu attiecībā uz streika norisi sabiedrībai nepieciešamajos dienestos (piemēram, Valsts darba inspekcija, Nacionālās trīspusējās sadarbības padome, tiesas), kā arī izvērtēt projekta ietekmi uz šīm institūcijām.</w:t>
            </w:r>
          </w:p>
        </w:tc>
        <w:tc>
          <w:tcPr>
            <w:tcW w:w="3544" w:type="dxa"/>
            <w:gridSpan w:val="2"/>
            <w:tcBorders>
              <w:left w:val="single" w:sz="6" w:space="0" w:color="000000"/>
              <w:bottom w:val="single" w:sz="4" w:space="0" w:color="auto"/>
              <w:right w:val="single" w:sz="6" w:space="0" w:color="000000"/>
            </w:tcBorders>
          </w:tcPr>
          <w:p w:rsidR="00FB29A6" w:rsidRPr="00DD363D" w:rsidRDefault="00FB29A6" w:rsidP="00317249">
            <w:pPr>
              <w:spacing w:before="40" w:after="40"/>
              <w:jc w:val="center"/>
              <w:rPr>
                <w:b/>
              </w:rPr>
            </w:pPr>
            <w:r w:rsidRPr="00DD363D">
              <w:rPr>
                <w:b/>
              </w:rPr>
              <w:t>Iebildums ņemts vērā</w:t>
            </w:r>
          </w:p>
          <w:p w:rsidR="00FB29A6" w:rsidRPr="00DD363D" w:rsidRDefault="00FB29A6" w:rsidP="00E13C28">
            <w:pPr>
              <w:spacing w:before="40" w:after="40"/>
              <w:jc w:val="both"/>
            </w:pPr>
            <w:r w:rsidRPr="00DD363D">
              <w:t>Streika likuma 14. pantā noteikta Valsts darba inspekcijas un Nacionālās trīspusējās sadarbības padomes iesaiste streika gadījumā. Turklāt Valsts darba inspekcija</w:t>
            </w:r>
            <w:r>
              <w:t>,</w:t>
            </w:r>
            <w:r w:rsidRPr="00DD363D">
              <w:t xml:space="preserve"> pamatojoties uz Streiku likuma V</w:t>
            </w:r>
            <w:r>
              <w:t> </w:t>
            </w:r>
            <w:r w:rsidRPr="00DD363D">
              <w:t>nodaļu nodrošina streika norises uzraudzību, tādējādi likumprojektam ir ietekme gan uz Valsts darba inspekciju, gan Nacionālās trīspusējās sadarbības padomi.</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B43F7F">
            <w:pPr>
              <w:jc w:val="both"/>
            </w:pPr>
            <w:r w:rsidRPr="00DD363D">
              <w:t>Precizēt</w:t>
            </w:r>
            <w:r>
              <w:t>s</w:t>
            </w:r>
            <w:r w:rsidRPr="00DD363D">
              <w:t xml:space="preserve"> likumprojekta anotācijas VII</w:t>
            </w:r>
            <w:r>
              <w:t> </w:t>
            </w:r>
            <w:r w:rsidRPr="00DD363D">
              <w:t xml:space="preserve">sadaļas 1. punktā </w:t>
            </w:r>
            <w:r>
              <w:t xml:space="preserve">sniegtais </w:t>
            </w:r>
            <w:r w:rsidRPr="00DD363D">
              <w:t>projekta izpildē iesaistīto institūciju uzskaitījums –</w:t>
            </w:r>
            <w:r>
              <w:t xml:space="preserve"> </w:t>
            </w:r>
            <w:r w:rsidRPr="00DD363D">
              <w:t>Valsts ieņēmumu dienests, Valsts darba inspekcija, Nacionālās trīspusējās sadarbības padome.</w:t>
            </w:r>
          </w:p>
          <w:p w:rsidR="00FB29A6" w:rsidRPr="00DD363D" w:rsidRDefault="00FB29A6" w:rsidP="00E13C28">
            <w:pPr>
              <w:jc w:val="both"/>
            </w:pP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317249">
            <w:pPr>
              <w:pStyle w:val="naisc"/>
              <w:spacing w:before="0" w:after="0"/>
            </w:pPr>
            <w:r>
              <w:t>10</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pStyle w:val="naisc"/>
              <w:jc w:val="both"/>
              <w:rPr>
                <w:b/>
              </w:rPr>
            </w:pPr>
            <w:r w:rsidRPr="00DD363D">
              <w:rPr>
                <w:b/>
              </w:rPr>
              <w:t>Neatkarīgās muitnieku arodbiedrības 10.08.2020. iebildums</w:t>
            </w:r>
          </w:p>
          <w:p w:rsidR="00FB29A6" w:rsidRPr="00DD363D" w:rsidRDefault="00FB29A6" w:rsidP="00A60ABF">
            <w:pPr>
              <w:pStyle w:val="naisc"/>
              <w:jc w:val="both"/>
            </w:pPr>
            <w:r w:rsidRPr="00DD363D">
              <w:t xml:space="preserve">I. sadaļas “Tiesību akta projekta izstrādes nepieciešamība” 2. punktā “Pašreizējā situācija un problēmas, kuru risināšanai tiesību akta projekts izstrādāts, tiesiskā regulējuma mērķis un būtība” (3. lpp.) nepieciešams svītrot norādīto pamatojumu, kādēļ uzdevumu veikšanas pārtraukšana VID Nodokļu un muitas policijas pārvaldes un Muitas pārvaldes </w:t>
            </w:r>
            <w:r w:rsidRPr="00DD363D">
              <w:lastRenderedPageBreak/>
              <w:t xml:space="preserve">nodarbināto streika laikā radītu draudus valsts ekonomikai un drošībai, jo norādītais ir spekulācija, kas nav apliecināta ar faktiem: </w:t>
            </w:r>
          </w:p>
          <w:p w:rsidR="00FB29A6" w:rsidRPr="00DD363D" w:rsidRDefault="00FB29A6" w:rsidP="00A60ABF">
            <w:pPr>
              <w:pStyle w:val="naisc"/>
              <w:jc w:val="both"/>
            </w:pPr>
            <w:r w:rsidRPr="00DD363D">
              <w:t>1.1. sabiedrības neapmierinātība vai daļēji neiekasēti nodokļu ieņēmumi nevar būt par pamatu Latvijas Republikas Satversmē un starptautiskos nolīgumos  paredzēto tiesību ierobežošanai;</w:t>
            </w:r>
          </w:p>
          <w:p w:rsidR="00FB29A6" w:rsidRPr="00DD363D" w:rsidRDefault="00FB29A6" w:rsidP="00A60ABF">
            <w:pPr>
              <w:pStyle w:val="naisc"/>
              <w:jc w:val="both"/>
            </w:pPr>
            <w:r w:rsidRPr="00DD363D">
              <w:t>1.2. ārējā robeža nav vienīgais iespējamais veids preču piegādēm, tās Latvijā var piegādāt arī no citām ES dalībvalstīm pa iekšējo robežu, turklāt, tirdzniecībā parasti pastāv dažādu preču krājumi tuvākajā laikā plānotajām piegādēm. Savukārt, iespējamo nemieru rašanās ir pārspīlējums, kas nav pierādīts ar faktiem, piemēram, pat 2006. gadā, kad kravas transportlīdzekļu rindas sasniedza ~40 km, nemieri nebija sākušies;</w:t>
            </w:r>
          </w:p>
          <w:p w:rsidR="00FB29A6" w:rsidRPr="00DD363D" w:rsidRDefault="00FB29A6" w:rsidP="00A60ABF">
            <w:pPr>
              <w:pStyle w:val="naisc"/>
              <w:jc w:val="both"/>
            </w:pPr>
            <w:r w:rsidRPr="00DD363D">
              <w:t xml:space="preserve">1.3. ja tiek apturēta kravu kustība uz robežas streika laikā (jo bez muitas pārbaudes robežu šķērsot nav atļauts), šajā laikā noziedzīgi nodarījumi valsts nodokļu, nodevu un citu valsts noteikto obligāto maksājumu jomā un muitas lietu jomā tāpat kā zaudējumi valstij uz robežas nevar tikt nodarīti, bet iesāktās izmeklēšanas tiek </w:t>
            </w:r>
            <w:r w:rsidRPr="00DD363D">
              <w:lastRenderedPageBreak/>
              <w:t>aizkavētas tikai uz laiku, kamēr VID darbinieki cīnās par savām tiesībām.</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D36C27">
            <w:pPr>
              <w:spacing w:before="40" w:after="40"/>
              <w:rPr>
                <w:b/>
              </w:rPr>
            </w:pPr>
            <w:r w:rsidRPr="00DD363D">
              <w:rPr>
                <w:b/>
              </w:rPr>
              <w:lastRenderedPageBreak/>
              <w:t xml:space="preserve">Iebildums ņemts vērā daļēji, likumprojekta anotācija precizēta </w:t>
            </w:r>
          </w:p>
          <w:p w:rsidR="00FB29A6" w:rsidRPr="00DD363D" w:rsidRDefault="00FB29A6" w:rsidP="00D36C27">
            <w:pPr>
              <w:spacing w:before="40" w:after="40"/>
              <w:jc w:val="both"/>
            </w:pPr>
            <w:r w:rsidRPr="00DD363D">
              <w:t>Likumprojekta anotācijas I</w:t>
            </w:r>
            <w:r>
              <w:t> </w:t>
            </w:r>
            <w:r w:rsidRPr="00DD363D">
              <w:t>sadaļas 2. punkta 9., 10. un 11.</w:t>
            </w:r>
            <w:r>
              <w:t> </w:t>
            </w:r>
            <w:r w:rsidRPr="00DD363D">
              <w:t xml:space="preserve">rindkopā ir minēts: </w:t>
            </w:r>
          </w:p>
          <w:p w:rsidR="00FB29A6" w:rsidRPr="00DD363D" w:rsidRDefault="00FB29A6" w:rsidP="00900DC8">
            <w:pPr>
              <w:spacing w:before="40" w:after="40"/>
              <w:jc w:val="both"/>
            </w:pPr>
            <w:r w:rsidRPr="00DD363D">
              <w:t>“1</w:t>
            </w:r>
            <w:r>
              <w:t xml:space="preserve">) </w:t>
            </w:r>
            <w:r w:rsidRPr="00DD363D">
              <w:t xml:space="preserve">ja nodokļu administrēšana un iekasēšana nebūs nodrošināta, nodokļu ieņēmumi valsts budžetā netiks iekasēti un būs apdraudētas pabalstu, pensiju, kā arī valsts pārvaldē nodarbināto atalgojuma </w:t>
            </w:r>
            <w:r w:rsidRPr="00DD363D">
              <w:lastRenderedPageBreak/>
              <w:t>izmaksas un cita veida izmaksas no valsts budžeta, tādējādi radot sabiedrības neapmierinātību un draudus valsts ekonomiskajai labklājībai un drošībai;</w:t>
            </w:r>
          </w:p>
          <w:p w:rsidR="00FB29A6" w:rsidRPr="00DD363D" w:rsidRDefault="00FB29A6" w:rsidP="00900DC8">
            <w:pPr>
              <w:spacing w:before="40" w:after="40"/>
              <w:jc w:val="both"/>
            </w:pPr>
            <w:r w:rsidRPr="00DD363D">
              <w:t>2</w:t>
            </w:r>
            <w:r>
              <w:t>)</w:t>
            </w:r>
            <w:r w:rsidRPr="00DD363D">
              <w:t xml:space="preserve"> apturētas kravas transportlīdzekļu kustības gadījumā pāri Eiropas Savienības ārējai robežai Eiropas Savienībā netiks ievest</w:t>
            </w:r>
            <w:r>
              <w:t>i</w:t>
            </w:r>
            <w:r w:rsidRPr="00DD363D">
              <w:t xml:space="preserve"> iedzīvotājiem nepieciešamie pārtikas un citi pirmās nepieciešamības produkti un preces. Šādas situācijas gadījumā uz Eiropas Savienības ārējas robežas var izcelties nemieri, kuru rezultātā var tikt apdraudēta sabiedriskā kārtība, valsts un indivīdu drošība;</w:t>
            </w:r>
          </w:p>
          <w:p w:rsidR="00FB29A6" w:rsidRPr="00DD363D" w:rsidRDefault="00FB29A6" w:rsidP="00D36C27">
            <w:pPr>
              <w:spacing w:before="40" w:after="40"/>
              <w:jc w:val="both"/>
            </w:pPr>
            <w:r w:rsidRPr="00DD363D">
              <w:t>3</w:t>
            </w:r>
            <w:r>
              <w:t>)</w:t>
            </w:r>
            <w:r w:rsidRPr="00DD363D">
              <w:t xml:space="preserve"> ja netiks novērsti un atklāti noziedzīgie nodarījumi valsts nodokļu, nodevu un citu valsts noteikto obligāto maksājumu jomā un muitas lietu jomā, valstij var tikt nodarīti zaudējumi, kas likumsakarīgi var nodarīt kaitējumu arī sabiedrības un valsts ekonomiskajai labklājībai, kā arī apdraudēt indivīda un sabiedrības drošību.”</w:t>
            </w:r>
          </w:p>
          <w:p w:rsidR="00FB29A6" w:rsidRPr="00DD363D" w:rsidRDefault="00FB29A6" w:rsidP="00D36C27">
            <w:pPr>
              <w:spacing w:before="40" w:after="40"/>
              <w:jc w:val="both"/>
            </w:pPr>
            <w:r w:rsidRPr="00DD363D">
              <w:t>Tād</w:t>
            </w:r>
            <w:r>
              <w:t>ē</w:t>
            </w:r>
            <w:r w:rsidRPr="00DD363D">
              <w:t>jādi likumprojekta anotācijas I</w:t>
            </w:r>
            <w:r>
              <w:t> </w:t>
            </w:r>
            <w:r w:rsidRPr="00DD363D">
              <w:t xml:space="preserve">sadaļas 2. punkta 9., 10. un 11. rindkopā ir uzskaitītas iespējamās sekas, kas rastos, ja </w:t>
            </w:r>
            <w:r w:rsidRPr="00DD363D">
              <w:lastRenderedPageBreak/>
              <w:t xml:space="preserve">Valsts ieņēmumu dienesta Nodokļu un muitas policijas pārvaldes un Muitas pārvaldes </w:t>
            </w:r>
            <w:r>
              <w:t>nodarbinātie</w:t>
            </w:r>
            <w:r w:rsidRPr="00DD363D">
              <w:t xml:space="preserve"> streika dēļ nenodrošinātu likuma “Par Valsts ieņēmumu dienestu” 2. panta 1., 2., 4. un 7. punktā noteikto uzdevumu izpildi. </w:t>
            </w:r>
          </w:p>
          <w:p w:rsidR="00FB29A6" w:rsidRPr="00DD363D" w:rsidRDefault="00FB29A6" w:rsidP="00D36C27">
            <w:pPr>
              <w:spacing w:before="40" w:after="40"/>
              <w:jc w:val="both"/>
            </w:pP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1C6E21">
            <w:pPr>
              <w:jc w:val="both"/>
            </w:pPr>
            <w:r w:rsidRPr="00DD363D">
              <w:lastRenderedPageBreak/>
              <w:t>Precizēta likumprojekta anotācijas I</w:t>
            </w:r>
            <w:r>
              <w:t> </w:t>
            </w:r>
            <w:r w:rsidRPr="00DD363D">
              <w:t>sadaļas 2. punkta 9. un 10. rindkopa (3. </w:t>
            </w:r>
            <w:proofErr w:type="spellStart"/>
            <w:r w:rsidRPr="00DD363D">
              <w:t>lp</w:t>
            </w:r>
            <w:proofErr w:type="spellEnd"/>
            <w:r w:rsidRPr="00DD363D">
              <w:t>.) šādā redakcijā:</w:t>
            </w:r>
          </w:p>
          <w:p w:rsidR="00FB29A6" w:rsidRPr="00DD363D" w:rsidRDefault="00FB29A6" w:rsidP="001C6E21">
            <w:pPr>
              <w:jc w:val="both"/>
            </w:pPr>
            <w:r w:rsidRPr="00DD363D">
              <w:t xml:space="preserve"> “1</w:t>
            </w:r>
            <w:r>
              <w:t xml:space="preserve">) </w:t>
            </w:r>
            <w:r w:rsidRPr="00DD363D">
              <w:t xml:space="preserve">ja nodokļu administrēšana un iekasēšana nebūs nodrošināta, nodokļu ieņēmumi valsts budžetā netiks iekasēti un būs apdraudētas pabalstu, pensiju, kā arī valsts pārvaldē nodarbināto atalgojuma izmaksas un cita veida izmaksas no valsts budžeta, tādējādi radot sabiedrības neapmierinātību un draudus valsts ekonomiskajai labklājībai un drošībai. Var tikt ietekmēta uzņēmējdarbība kravu loģistikā un starptautisko pasažieru un kravu pārvadāšanā, </w:t>
            </w:r>
            <w:r w:rsidRPr="00DD363D">
              <w:lastRenderedPageBreak/>
              <w:t>kas var samazināt arī nodokļu ieņēmumus valsts budžetā;</w:t>
            </w:r>
          </w:p>
          <w:p w:rsidR="00FB29A6" w:rsidRPr="00DD363D" w:rsidRDefault="00FB29A6" w:rsidP="00F16A89">
            <w:pPr>
              <w:jc w:val="both"/>
            </w:pPr>
            <w:r w:rsidRPr="00DD363D">
              <w:t>2</w:t>
            </w:r>
            <w:r>
              <w:t>)</w:t>
            </w:r>
            <w:r w:rsidRPr="00DD363D">
              <w:t xml:space="preserve"> apturētas transportlīdzekļu kustības gadījumā pāri Eiropas Savienības ārējai robežai var tikt apturēti vai aizkavēti starptautiskie kravu un pasažieru pārvadājumi, t.</w:t>
            </w:r>
            <w:r>
              <w:t> </w:t>
            </w:r>
            <w:r w:rsidRPr="00DD363D">
              <w:t xml:space="preserve">sk. dzelzceļa pārvadājumi, </w:t>
            </w:r>
            <w:r>
              <w:t>un t</w:t>
            </w:r>
            <w:r w:rsidRPr="00DD363D">
              <w:t xml:space="preserve">as </w:t>
            </w:r>
            <w:r>
              <w:t xml:space="preserve">var </w:t>
            </w:r>
            <w:r w:rsidRPr="00DD363D">
              <w:t xml:space="preserve">negatīvi ietekmēt valsts konkurētspēju pārrobežu tirdzniecības veicināšanā, kravu loģistikā un starptautisko pasažieru pārvadāšanā. </w:t>
            </w:r>
            <w:r>
              <w:t>Turklāt</w:t>
            </w:r>
            <w:r w:rsidRPr="00DD363D">
              <w:t xml:space="preserve"> palielinās risks, ka pieaugs mēģinājumu skaits pārvietot nedeklarētu skaidru naudu vai preces</w:t>
            </w:r>
            <w:r w:rsidRPr="00DD363D" w:rsidDel="00BE1ADB">
              <w:t xml:space="preserve"> </w:t>
            </w:r>
            <w:r w:rsidRPr="00DD363D">
              <w:t xml:space="preserve">pāri Eiropas Savienības ārējai robežai, </w:t>
            </w:r>
            <w:r>
              <w:t>un t</w:t>
            </w:r>
            <w:r w:rsidRPr="00DD363D">
              <w:t xml:space="preserve">as likumsakarīgi var nodarīt kaitējumu arī sabiedrības un valsts ekonomiskajai labklājībai, kā arī apdraudēt indivīda un sabiedrības drošību. </w:t>
            </w:r>
            <w:r>
              <w:t>P</w:t>
            </w:r>
            <w:r w:rsidRPr="00DD363D">
              <w:t>astāv risks ēnu ekonomikas īpatsvara pieaugumam. Vienlaikus starptautisko pārvadājumu (gan kravu, gan pasažieru) aizkavēšanas vai apturēšanas gadījumā Latvijas muitas dienests neizpildīs saskaņā ar starpvaldību līgumiem uzņemtās saistības.”</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317249">
            <w:pPr>
              <w:pStyle w:val="naisc"/>
              <w:spacing w:before="0" w:after="0"/>
            </w:pPr>
            <w:r w:rsidRPr="00DD363D">
              <w:lastRenderedPageBreak/>
              <w:t>1</w:t>
            </w:r>
            <w:r>
              <w:t>1</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Neatkarīgās muitnieku arodbiedrības 10.08.2020. iebildums</w:t>
            </w:r>
          </w:p>
          <w:p w:rsidR="00FB29A6" w:rsidRPr="00DD363D" w:rsidRDefault="00FB29A6" w:rsidP="001C6E21">
            <w:pPr>
              <w:pStyle w:val="naisc"/>
              <w:jc w:val="both"/>
            </w:pPr>
            <w:r w:rsidRPr="00DD363D">
              <w:t>Anotācijas 2. punktā “Pašreizējā situācija un problēmas, kuru risināšanai tiesību akta projekts izstrādāts, tiesiskā regulējuma mērķis un būtība” 4. lpp. trešās rindkopas pēdējo teikumu nepieciešams precizēt un izteikt šādā redakcijā (nepieciešamās izmaiņas iezīmētas treknrakstā):</w:t>
            </w:r>
          </w:p>
          <w:p w:rsidR="00FB29A6" w:rsidRPr="00DD363D" w:rsidRDefault="00FB29A6" w:rsidP="001C6E21">
            <w:pPr>
              <w:pStyle w:val="naisc"/>
              <w:jc w:val="both"/>
            </w:pPr>
            <w:r w:rsidRPr="00DD363D">
              <w:t xml:space="preserve">“Streika gadījumā, Streika komitejā vienosies, vai, ņemot vērā streikam pieteikto nodarbināto skaitu, ir vai nav nepieciešams no to vidus norīkot darbiniekus, kuri nodrošinās darbu minimālajā apjomā (iespējams, streikam nepieteikto darbinieku skaits ir pietiekams minimālā darba nodrošināšanai), ar šiem nodarbinātajiem, kurš no nodarbinātajiem vēlas piedalīties streikā un vienosies par to, kā tiks </w:t>
            </w:r>
            <w:r w:rsidRPr="00DD363D">
              <w:lastRenderedPageBreak/>
              <w:t>nodrošināta konkrētā muitas kontroles punkta darbs minimālajā apjomā ar pēc iespējām minimālo nodarbināto, kuri grib piedalīties streikā, iesaisti.”</w:t>
            </w:r>
          </w:p>
          <w:p w:rsidR="00FB29A6" w:rsidRPr="00DD363D" w:rsidRDefault="00FB29A6" w:rsidP="001C6E21">
            <w:pPr>
              <w:pStyle w:val="naisc"/>
              <w:jc w:val="both"/>
            </w:pPr>
            <w:r w:rsidRPr="00DD363D">
              <w:t>Streiku likuma 17. panta trešā daļa paredz, ka tikai nepieciešamības gadījumā Streika komitejā lemj par darbinieku piesaisti minimālā darba apjoma nodrošināšanai no to darbinieku vidus, kuri pieteikti streikam. Tāpēc vispirms nepieciešams izskatīt jautājumu, vai tas nepieciešams, un pēc tam, cik daudz un kā tiks nodrošināta konkrētā muitas kontroles punkta darbs minimālajā apjomā.</w:t>
            </w:r>
          </w:p>
          <w:p w:rsidR="00FB29A6" w:rsidRDefault="00FB29A6" w:rsidP="001C6E21">
            <w:pPr>
              <w:pStyle w:val="naisc"/>
              <w:jc w:val="both"/>
            </w:pPr>
            <w:r w:rsidRPr="00DD363D">
              <w:t>Arodbiedrība izsaka bažas par šajā anotācijas teikumā norādīto nosacījumu, ka Streika komitejai katru reizi būs nepieciešams vienoties par konkrētās VID struktūrvienības minimāli veicamo darba apjomu. Tā kā Streika komitejā ir vienāds skaits pārstāvju no arodbiedrības un darba devēja, pastāv iespēja nenonākt pie kopsaucēja minimālā apjoma kritērijos, tāpēc arodbiedrības ieskatā tie pēc likumprojekta pieņemšanas sadarbībā ar VID darbinieku arodbiedrībām būtu nosakāmi kā vispārīgi.</w:t>
            </w:r>
          </w:p>
          <w:p w:rsidR="00C50039" w:rsidRPr="00DD363D" w:rsidRDefault="00C50039" w:rsidP="001C6E21">
            <w:pPr>
              <w:pStyle w:val="naisc"/>
              <w:jc w:val="both"/>
            </w:pP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lastRenderedPageBreak/>
              <w:t>Iebildums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Precizēts likumprojekta anotācijas I</w:t>
            </w:r>
            <w:r>
              <w:t> </w:t>
            </w:r>
            <w:r w:rsidRPr="00DD363D">
              <w:t>sadaļas 2. punkts</w:t>
            </w:r>
            <w:r>
              <w:t>:</w:t>
            </w:r>
          </w:p>
          <w:p w:rsidR="00FB29A6" w:rsidRPr="00DD363D" w:rsidRDefault="00FB29A6" w:rsidP="00F16A89">
            <w:pPr>
              <w:jc w:val="both"/>
            </w:pPr>
            <w:r w:rsidRPr="00DD363D">
              <w:t xml:space="preserve">“Streika gadījumā Streiku komiteja vienosies vai, ņemot vērā streikam pieteikto nodarbināto skaitu, </w:t>
            </w:r>
            <w:r>
              <w:t xml:space="preserve">noteiks, </w:t>
            </w:r>
            <w:r w:rsidRPr="00DD363D">
              <w:t>ir vai nav nepieciešams no to vidus norīkot nodarbinātos, kuri nodrošinās darbu minimālajā apjomā (iespējams, nodarbināto skaits, kas nepiedalīsies streikā</w:t>
            </w:r>
            <w:r>
              <w:t>,</w:t>
            </w:r>
            <w:r w:rsidRPr="00DD363D">
              <w:t xml:space="preserve"> būs pietiekams, lai nodrošinātu darbu minimālajā apjomā), </w:t>
            </w:r>
            <w:r>
              <w:t xml:space="preserve">un noskaidros, </w:t>
            </w:r>
            <w:r w:rsidRPr="00DD363D">
              <w:t>kurš no nodarbinātajiem vēlas piedalīties streikā</w:t>
            </w:r>
            <w:r>
              <w:t>, kā arī</w:t>
            </w:r>
            <w:r w:rsidRPr="00DD363D">
              <w:t xml:space="preserve"> vienosies par to, kā tiks nodrošināt</w:t>
            </w:r>
            <w:r>
              <w:t>s</w:t>
            </w:r>
            <w:r w:rsidRPr="00DD363D">
              <w:t xml:space="preserve"> konkrētā muitas kontroles punkta darbs minimālajā apjomā ar iespēj</w:t>
            </w:r>
            <w:r>
              <w:t>ami</w:t>
            </w:r>
            <w:r w:rsidRPr="00DD363D">
              <w:t xml:space="preserve"> minimāl</w:t>
            </w:r>
            <w:r>
              <w:t>u tādu</w:t>
            </w:r>
            <w:r w:rsidRPr="00DD363D">
              <w:t xml:space="preserve"> nodarbināto</w:t>
            </w:r>
            <w:r>
              <w:t xml:space="preserve"> iesaisti</w:t>
            </w:r>
            <w:r w:rsidRPr="00DD363D">
              <w:t>, kuri grib piedalīties streikā.”</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5F429F">
            <w:pPr>
              <w:pStyle w:val="naisc"/>
              <w:spacing w:before="0" w:after="0"/>
              <w:jc w:val="left"/>
            </w:pPr>
            <w:r w:rsidRPr="00DD363D">
              <w:lastRenderedPageBreak/>
              <w:t>1</w:t>
            </w:r>
            <w:r>
              <w:t>2</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Tieslietu ministrijas 23.10.2020. iebildums</w:t>
            </w:r>
          </w:p>
          <w:p w:rsidR="00FB29A6" w:rsidRPr="00DD363D" w:rsidRDefault="00FB29A6" w:rsidP="00186E20">
            <w:pPr>
              <w:jc w:val="both"/>
              <w:rPr>
                <w:rFonts w:ascii="Times" w:eastAsia="Calibri" w:hAnsi="Times" w:cs="Times"/>
                <w:color w:val="000000"/>
              </w:rPr>
            </w:pPr>
            <w:r w:rsidRPr="00DD363D">
              <w:rPr>
                <w:rFonts w:ascii="Times" w:eastAsia="Calibri" w:hAnsi="Times" w:cs="Times"/>
                <w:color w:val="000000"/>
              </w:rPr>
              <w:t xml:space="preserve">Anotācijā norādīts, ka Nodokļu un muitas policijas pārvaldes un Muitas pārvaldes struktūrvienībās nodarbinātie veic funkcijas, kuru pārtraukšana var radīt draudus valsts, visas sabiedrības, kādas iedzīvotāju grupas vai atsevišķu indivīdu drošībai, veselībai vai dzīvībai. Tāpat norādīts, ka labums, ko sabiedrība iegūst ar projektā paredzētajiem ierobežojumiem, ir lielāks nekā atsevišķu nodarbināto tiesību ierobežojums. Savukārt izziņā norādīts, ka Valsts ieņēmumu dienests (turpmāk - VID) </w:t>
            </w:r>
            <w:r w:rsidRPr="00DD363D">
              <w:rPr>
                <w:rFonts w:ascii="Times" w:eastAsia="Calibri" w:hAnsi="Times" w:cs="Times"/>
                <w:color w:val="000000"/>
                <w:u w:val="single"/>
              </w:rPr>
              <w:t xml:space="preserve">veiks attiecīgo pārvalžu struktūrvienību darba specifikas </w:t>
            </w:r>
            <w:proofErr w:type="spellStart"/>
            <w:r w:rsidRPr="00DD363D">
              <w:rPr>
                <w:rFonts w:ascii="Times" w:eastAsia="Calibri" w:hAnsi="Times" w:cs="Times"/>
                <w:color w:val="000000"/>
                <w:u w:val="single"/>
              </w:rPr>
              <w:t>izvērtējumu</w:t>
            </w:r>
            <w:proofErr w:type="spellEnd"/>
            <w:r w:rsidRPr="00DD363D">
              <w:rPr>
                <w:rFonts w:ascii="Times" w:eastAsia="Calibri" w:hAnsi="Times" w:cs="Times"/>
                <w:color w:val="000000"/>
                <w:u w:val="single"/>
              </w:rPr>
              <w:t>, un atbilstoši tam,</w:t>
            </w:r>
            <w:r w:rsidRPr="00DD363D">
              <w:rPr>
                <w:rFonts w:ascii="Times" w:eastAsia="Calibri" w:hAnsi="Times" w:cs="Times"/>
                <w:color w:val="000000"/>
              </w:rPr>
              <w:t xml:space="preserve"> veiks izmaiņas VID Nodokļu un muitas policijas pārvaldes un Muitas pārvaldes struktūrvienību nodarbināto amatu aprakstos, kuru amata pienākumos ietilpst tādu funkciju veikšana, </w:t>
            </w:r>
            <w:r w:rsidRPr="00DD363D">
              <w:rPr>
                <w:rFonts w:ascii="Times" w:eastAsia="Calibri" w:hAnsi="Times" w:cs="Times"/>
                <w:color w:val="000000"/>
                <w:u w:val="single"/>
              </w:rPr>
              <w:t>kuru pārtraukšana var radīt draudus valsts, visas sabiedrības, kādas iedzīvotāju grupas vai atsevišķu indivīdu drošībai, veselībai vai dzīvībai.</w:t>
            </w:r>
          </w:p>
          <w:p w:rsidR="00FB29A6" w:rsidRPr="00DD363D" w:rsidRDefault="00FB29A6" w:rsidP="00186E20">
            <w:pPr>
              <w:jc w:val="both"/>
              <w:rPr>
                <w:rFonts w:ascii="Times" w:eastAsia="Calibri" w:hAnsi="Times" w:cs="Times"/>
                <w:color w:val="000000"/>
              </w:rPr>
            </w:pPr>
            <w:r w:rsidRPr="00DD363D">
              <w:rPr>
                <w:rFonts w:ascii="Times" w:eastAsia="Calibri" w:hAnsi="Times" w:cs="Times"/>
                <w:color w:val="000000"/>
              </w:rPr>
              <w:t xml:space="preserve">No minētā izriet, ka Nodokļu un muitas policijas pārvaldes un Muitas pārvaldes veic specifisku darbu, kuru pārtraukšana var radīt draudus valstij </w:t>
            </w:r>
            <w:r w:rsidRPr="00DD363D">
              <w:rPr>
                <w:rFonts w:ascii="Times" w:eastAsia="Calibri" w:hAnsi="Times" w:cs="Times"/>
                <w:color w:val="000000"/>
              </w:rPr>
              <w:lastRenderedPageBreak/>
              <w:t>un/vai sabiedrībai, </w:t>
            </w:r>
            <w:r w:rsidRPr="00DD363D">
              <w:rPr>
                <w:rFonts w:ascii="Times" w:eastAsia="Calibri" w:hAnsi="Times" w:cs="Times"/>
                <w:color w:val="000000"/>
                <w:u w:val="single"/>
              </w:rPr>
              <w:t xml:space="preserve">taču konkrēts </w:t>
            </w:r>
            <w:proofErr w:type="spellStart"/>
            <w:r w:rsidRPr="00DD363D">
              <w:rPr>
                <w:rFonts w:ascii="Times" w:eastAsia="Calibri" w:hAnsi="Times" w:cs="Times"/>
                <w:color w:val="000000"/>
                <w:u w:val="single"/>
              </w:rPr>
              <w:t>izvērtējums</w:t>
            </w:r>
            <w:proofErr w:type="spellEnd"/>
            <w:r w:rsidRPr="00DD363D">
              <w:rPr>
                <w:rFonts w:ascii="Times" w:eastAsia="Calibri" w:hAnsi="Times" w:cs="Times"/>
                <w:color w:val="000000"/>
                <w:u w:val="single"/>
              </w:rPr>
              <w:t xml:space="preserve"> nav veikts</w:t>
            </w:r>
            <w:r w:rsidRPr="00DD363D">
              <w:rPr>
                <w:rFonts w:ascii="Times" w:eastAsia="Calibri" w:hAnsi="Times" w:cs="Times"/>
                <w:color w:val="000000"/>
              </w:rPr>
              <w:t xml:space="preserve">, lai apzinātu darbības, kuras būtu nepieciešams turpināt veikt streika gadījumā. Tieslietu ministrijas ieskatā vispirms ir jāveic minētais </w:t>
            </w:r>
            <w:proofErr w:type="spellStart"/>
            <w:r w:rsidRPr="00DD363D">
              <w:rPr>
                <w:rFonts w:ascii="Times" w:eastAsia="Calibri" w:hAnsi="Times" w:cs="Times"/>
                <w:color w:val="000000"/>
              </w:rPr>
              <w:t>izvērtējums</w:t>
            </w:r>
            <w:proofErr w:type="spellEnd"/>
            <w:r w:rsidRPr="00DD363D">
              <w:rPr>
                <w:rFonts w:ascii="Times" w:eastAsia="Calibri" w:hAnsi="Times" w:cs="Times"/>
                <w:color w:val="000000"/>
              </w:rPr>
              <w:t xml:space="preserve"> un tikai pēc tam jāvērtē, cik daudz un kā tiks nodrošināts muitas kontroles punkta darbs minimālajā apjomā.</w:t>
            </w:r>
          </w:p>
          <w:p w:rsidR="00FB29A6" w:rsidRPr="00DD363D" w:rsidRDefault="00FB29A6" w:rsidP="00186E20">
            <w:pPr>
              <w:jc w:val="both"/>
              <w:rPr>
                <w:rFonts w:ascii="Times" w:eastAsia="Calibri" w:hAnsi="Times" w:cs="Times"/>
                <w:color w:val="000000"/>
                <w:shd w:val="clear" w:color="auto" w:fill="FFFFFF"/>
                <w:lang w:eastAsia="en-US"/>
              </w:rPr>
            </w:pPr>
            <w:r w:rsidRPr="00DD363D">
              <w:rPr>
                <w:rFonts w:ascii="Times" w:eastAsia="Calibri" w:hAnsi="Times" w:cs="Times"/>
                <w:color w:val="000000"/>
                <w:lang w:eastAsia="en-US"/>
              </w:rPr>
              <w:t>Atkārtoti norādām, ka tiesības streikot ir Latvijas Republikas Satversmes (turpmāk – Satversme) 108. pantā paredzētās cilvēktiesības.</w:t>
            </w:r>
            <w:r w:rsidRPr="00DD363D">
              <w:rPr>
                <w:rFonts w:ascii="Times" w:eastAsia="Calibri" w:hAnsi="Times" w:cs="Times"/>
                <w:color w:val="000000"/>
                <w:shd w:val="clear" w:color="auto" w:fill="FFFFFF"/>
                <w:lang w:eastAsia="en-US"/>
              </w:rPr>
              <w:t xml:space="preserve"> Turpretim</w:t>
            </w:r>
            <w:r w:rsidRPr="00DD363D">
              <w:rPr>
                <w:rFonts w:ascii="Times" w:eastAsia="Calibri" w:hAnsi="Times" w:cs="Times"/>
                <w:color w:val="000000"/>
                <w:lang w:eastAsia="en-US"/>
              </w:rPr>
              <w:t xml:space="preserve"> </w:t>
            </w:r>
            <w:hyperlink r:id="rId8" w:tgtFrame="_blank" w:history="1">
              <w:r w:rsidRPr="00DD363D">
                <w:rPr>
                  <w:rFonts w:ascii="Times" w:eastAsia="Calibri" w:hAnsi="Times" w:cs="Times"/>
                  <w:color w:val="000000"/>
                  <w:u w:val="single"/>
                  <w:lang w:eastAsia="en-US"/>
                </w:rPr>
                <w:t>Satversmes</w:t>
              </w:r>
            </w:hyperlink>
            <w:r w:rsidRPr="00DD363D">
              <w:rPr>
                <w:rFonts w:ascii="Times" w:eastAsia="Calibri" w:hAnsi="Times" w:cs="Times"/>
                <w:color w:val="000000"/>
                <w:shd w:val="clear" w:color="auto" w:fill="FFFFFF"/>
                <w:lang w:eastAsia="en-US"/>
              </w:rPr>
              <w:t xml:space="preserve"> </w:t>
            </w:r>
            <w:hyperlink r:id="rId9" w:anchor="p116" w:tgtFrame="_blank" w:history="1">
              <w:r w:rsidRPr="00DD363D">
                <w:rPr>
                  <w:rFonts w:ascii="Times" w:eastAsia="Calibri" w:hAnsi="Times" w:cs="Times"/>
                  <w:color w:val="000000"/>
                  <w:u w:val="single"/>
                  <w:lang w:eastAsia="en-US"/>
                </w:rPr>
                <w:t>116. pants</w:t>
              </w:r>
            </w:hyperlink>
            <w:r w:rsidRPr="00DD363D">
              <w:rPr>
                <w:rFonts w:ascii="Times" w:eastAsia="Calibri" w:hAnsi="Times" w:cs="Times"/>
                <w:color w:val="000000"/>
                <w:lang w:eastAsia="en-US"/>
              </w:rPr>
              <w:t xml:space="preserve"> paredz tiesības </w:t>
            </w:r>
            <w:r w:rsidRPr="00DD363D">
              <w:rPr>
                <w:rFonts w:ascii="Times" w:eastAsia="Calibri" w:hAnsi="Times" w:cs="Times"/>
                <w:color w:val="000000"/>
                <w:shd w:val="clear" w:color="auto" w:fill="FFFFFF"/>
                <w:lang w:eastAsia="en-US"/>
              </w:rPr>
              <w:t xml:space="preserve">valstij ierobežot </w:t>
            </w:r>
            <w:hyperlink r:id="rId10" w:tgtFrame="_blank" w:history="1">
              <w:r w:rsidRPr="00DD363D">
                <w:rPr>
                  <w:rFonts w:ascii="Times" w:eastAsia="Calibri" w:hAnsi="Times" w:cs="Times"/>
                  <w:color w:val="000000"/>
                  <w:u w:val="single"/>
                  <w:lang w:eastAsia="en-US"/>
                </w:rPr>
                <w:t>Satversmē</w:t>
              </w:r>
            </w:hyperlink>
            <w:r w:rsidRPr="00DD363D">
              <w:rPr>
                <w:rFonts w:ascii="Times" w:eastAsia="Calibri" w:hAnsi="Times" w:cs="Times"/>
                <w:color w:val="000000"/>
                <w:shd w:val="clear" w:color="auto" w:fill="FFFFFF"/>
                <w:lang w:eastAsia="en-US"/>
              </w:rPr>
              <w:t xml:space="preserve"> garantētās </w:t>
            </w:r>
            <w:proofErr w:type="spellStart"/>
            <w:r w:rsidRPr="00DD363D">
              <w:rPr>
                <w:rFonts w:ascii="Times" w:eastAsia="Calibri" w:hAnsi="Times" w:cs="Times"/>
                <w:color w:val="000000"/>
                <w:shd w:val="clear" w:color="auto" w:fill="FFFFFF"/>
                <w:lang w:eastAsia="en-US"/>
              </w:rPr>
              <w:t>pamattiesības</w:t>
            </w:r>
            <w:proofErr w:type="spellEnd"/>
            <w:r w:rsidRPr="00DD363D">
              <w:rPr>
                <w:rFonts w:ascii="Times" w:eastAsia="Calibri" w:hAnsi="Times" w:cs="Times"/>
                <w:color w:val="000000"/>
                <w:shd w:val="clear" w:color="auto" w:fill="FFFFFF"/>
                <w:lang w:eastAsia="en-US"/>
              </w:rPr>
              <w:t xml:space="preserve">, tostarp arī tiesības uz streiku. </w:t>
            </w:r>
            <w:r w:rsidRPr="00DD363D">
              <w:rPr>
                <w:rFonts w:ascii="Times" w:eastAsia="Calibri" w:hAnsi="Times" w:cs="Times"/>
                <w:color w:val="000000"/>
                <w:u w:val="single"/>
                <w:shd w:val="clear" w:color="auto" w:fill="FFFFFF"/>
                <w:lang w:eastAsia="en-US"/>
              </w:rPr>
              <w:t xml:space="preserve">Tomēr šīs tiesības var ierobežot tikai </w:t>
            </w:r>
            <w:hyperlink r:id="rId11" w:tgtFrame="_blank" w:history="1">
              <w:r w:rsidRPr="00DD363D">
                <w:rPr>
                  <w:rFonts w:ascii="Times" w:eastAsia="Calibri" w:hAnsi="Times" w:cs="Times"/>
                  <w:color w:val="000000"/>
                  <w:u w:val="single"/>
                  <w:lang w:eastAsia="en-US"/>
                </w:rPr>
                <w:t>Satversmē</w:t>
              </w:r>
            </w:hyperlink>
            <w:r w:rsidRPr="00DD363D">
              <w:rPr>
                <w:rFonts w:ascii="Times" w:eastAsia="Calibri" w:hAnsi="Times" w:cs="Times"/>
                <w:color w:val="000000"/>
                <w:u w:val="single"/>
                <w:shd w:val="clear" w:color="auto" w:fill="FFFFFF"/>
                <w:lang w:eastAsia="en-US"/>
              </w:rPr>
              <w:t xml:space="preserve"> noteiktajos gadījumos: pirmkārt, ja ierobežojums noteikts ar</w:t>
            </w:r>
            <w:r w:rsidRPr="00DD363D">
              <w:rPr>
                <w:rFonts w:ascii="Times" w:eastAsia="Calibri" w:hAnsi="Times" w:cs="Times"/>
                <w:color w:val="000000"/>
                <w:shd w:val="clear" w:color="auto" w:fill="FFFFFF"/>
                <w:lang w:eastAsia="en-US"/>
              </w:rPr>
              <w:t> </w:t>
            </w:r>
            <w:r w:rsidRPr="00DD363D">
              <w:rPr>
                <w:rFonts w:ascii="Times" w:eastAsia="Calibri" w:hAnsi="Times" w:cs="Times"/>
                <w:color w:val="000000"/>
                <w:u w:val="single"/>
                <w:shd w:val="clear" w:color="auto" w:fill="FFFFFF"/>
                <w:lang w:eastAsia="en-US"/>
              </w:rPr>
              <w:t>likumu, otrkārt, ja ierobežojums atbilst leģitīmam mērķim, kuru valsts vēlas sasniegt, nosakot šo ierobežojumu, un, treškārt, ja ir ievērots samērīguma princips.</w:t>
            </w:r>
            <w:r w:rsidRPr="00DD363D">
              <w:rPr>
                <w:rFonts w:ascii="Times" w:eastAsia="Calibri" w:hAnsi="Times" w:cs="Times"/>
                <w:color w:val="000000"/>
                <w:shd w:val="clear" w:color="auto" w:fill="FFFFFF"/>
                <w:lang w:eastAsia="en-US"/>
              </w:rPr>
              <w:t xml:space="preserve"> </w:t>
            </w:r>
            <w:r w:rsidRPr="00DD363D">
              <w:rPr>
                <w:rFonts w:ascii="Times" w:eastAsia="Calibri" w:hAnsi="Times" w:cs="Times"/>
                <w:color w:val="000000"/>
                <w:lang w:eastAsia="en-US"/>
              </w:rPr>
              <w:t xml:space="preserve">Līdz ar to nav </w:t>
            </w:r>
            <w:proofErr w:type="spellStart"/>
            <w:r w:rsidRPr="00DD363D">
              <w:rPr>
                <w:rFonts w:ascii="Times" w:eastAsia="Calibri" w:hAnsi="Times" w:cs="Times"/>
                <w:color w:val="000000"/>
                <w:lang w:eastAsia="en-US"/>
              </w:rPr>
              <w:t>pieļaujama</w:t>
            </w:r>
            <w:proofErr w:type="spellEnd"/>
            <w:r w:rsidRPr="00DD363D">
              <w:rPr>
                <w:rFonts w:ascii="Times" w:eastAsia="Calibri" w:hAnsi="Times" w:cs="Times"/>
                <w:color w:val="000000"/>
                <w:lang w:eastAsia="en-US"/>
              </w:rPr>
              <w:t xml:space="preserve"> </w:t>
            </w:r>
            <w:proofErr w:type="spellStart"/>
            <w:r w:rsidRPr="00DD363D">
              <w:rPr>
                <w:rFonts w:ascii="Times" w:eastAsia="Calibri" w:hAnsi="Times" w:cs="Times"/>
                <w:color w:val="000000"/>
                <w:lang w:eastAsia="en-US"/>
              </w:rPr>
              <w:t>patvaļīgu</w:t>
            </w:r>
            <w:proofErr w:type="spellEnd"/>
            <w:r w:rsidRPr="00DD363D">
              <w:rPr>
                <w:rFonts w:ascii="Times" w:eastAsia="Calibri" w:hAnsi="Times" w:cs="Times"/>
                <w:color w:val="000000"/>
                <w:lang w:eastAsia="en-US"/>
              </w:rPr>
              <w:t xml:space="preserve"> </w:t>
            </w:r>
            <w:proofErr w:type="spellStart"/>
            <w:r w:rsidRPr="00DD363D">
              <w:rPr>
                <w:rFonts w:ascii="Times" w:eastAsia="Calibri" w:hAnsi="Times" w:cs="Times"/>
                <w:color w:val="000000"/>
                <w:lang w:eastAsia="en-US"/>
              </w:rPr>
              <w:t>ierobežojumu</w:t>
            </w:r>
            <w:proofErr w:type="spellEnd"/>
            <w:r w:rsidRPr="00DD363D">
              <w:rPr>
                <w:rFonts w:ascii="Times" w:eastAsia="Calibri" w:hAnsi="Times" w:cs="Times"/>
                <w:color w:val="000000"/>
                <w:lang w:eastAsia="en-US"/>
              </w:rPr>
              <w:t xml:space="preserve"> </w:t>
            </w:r>
            <w:proofErr w:type="spellStart"/>
            <w:r w:rsidRPr="00DD363D">
              <w:rPr>
                <w:rFonts w:ascii="Times" w:eastAsia="Calibri" w:hAnsi="Times" w:cs="Times"/>
                <w:color w:val="000000"/>
                <w:lang w:eastAsia="en-US"/>
              </w:rPr>
              <w:t>noteikšana</w:t>
            </w:r>
            <w:proofErr w:type="spellEnd"/>
            <w:r w:rsidRPr="00DD363D">
              <w:rPr>
                <w:rFonts w:ascii="Times" w:eastAsia="Calibri" w:hAnsi="Times" w:cs="Times"/>
                <w:color w:val="000000"/>
                <w:lang w:eastAsia="en-US"/>
              </w:rPr>
              <w:t>.</w:t>
            </w:r>
          </w:p>
          <w:p w:rsidR="00FB29A6" w:rsidRPr="00DD363D" w:rsidRDefault="00FB29A6" w:rsidP="00186E20">
            <w:pPr>
              <w:jc w:val="both"/>
              <w:rPr>
                <w:rFonts w:ascii="Times" w:eastAsia="Calibri" w:hAnsi="Times" w:cs="Times"/>
                <w:color w:val="000000"/>
                <w:lang w:eastAsia="en-US"/>
              </w:rPr>
            </w:pPr>
            <w:r w:rsidRPr="00DD363D">
              <w:rPr>
                <w:rFonts w:ascii="Times" w:eastAsia="Calibri" w:hAnsi="Times" w:cs="Times"/>
                <w:color w:val="000000"/>
                <w:lang w:eastAsia="en-US"/>
              </w:rPr>
              <w:t>Ievērojot minēto, norādām, ka projekts rada šaubas par tā nepieciešamību, kā arī to, ka projektā paredzētais ierobežojums ir samērīgs un ar leģitīmu mērķi.</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5F23D6">
            <w:pPr>
              <w:spacing w:before="40" w:after="40"/>
              <w:jc w:val="center"/>
              <w:rPr>
                <w:b/>
              </w:rPr>
            </w:pPr>
            <w:r w:rsidRPr="00DD363D">
              <w:rPr>
                <w:b/>
              </w:rPr>
              <w:lastRenderedPageBreak/>
              <w:t>Iebildums ņemts vērā</w:t>
            </w:r>
          </w:p>
          <w:p w:rsidR="00FB29A6" w:rsidRPr="00DD363D" w:rsidRDefault="00FB29A6" w:rsidP="00186E20">
            <w:pPr>
              <w:spacing w:before="40" w:after="40"/>
              <w:jc w:val="both"/>
            </w:pP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A6408B">
            <w:pPr>
              <w:jc w:val="both"/>
            </w:pPr>
            <w:r w:rsidRPr="00DD363D">
              <w:t>Precizēts un papildināts likumprojekta anotācijas I</w:t>
            </w:r>
            <w:r>
              <w:t> </w:t>
            </w:r>
            <w:r w:rsidRPr="00DD363D">
              <w:t xml:space="preserve">sadaļas 2. punktā norādītais attiecībā uz darba specifikas </w:t>
            </w:r>
            <w:proofErr w:type="spellStart"/>
            <w:r w:rsidRPr="00DD363D">
              <w:t>izvērtējumiem</w:t>
            </w:r>
            <w:proofErr w:type="spellEnd"/>
            <w:r w:rsidRPr="00DD363D">
              <w:t xml:space="preserve"> un izmaiņām amata aprakstos šādā redakcijā: “No Valsts ieņēmumu dienesta Nodokļu un muitas policijas pārvaldes veiktā </w:t>
            </w:r>
            <w:proofErr w:type="spellStart"/>
            <w:r w:rsidRPr="00DD363D">
              <w:t>izvērtējuma</w:t>
            </w:r>
            <w:proofErr w:type="spellEnd"/>
            <w:r w:rsidRPr="00DD363D">
              <w:t xml:space="preserve"> izriet, ka atbilstoši Kriminālprocesa likuma 386. pantā noteiktajam Valsts ieņēmumu dienesta Nodokļu un muitas policijas pārvalde ir izmeklēšanas iestāde un saskaņā ar Operatīvās darbības likuma 25. pantā noteikto arī operatīvās darbības subjekts.</w:t>
            </w:r>
          </w:p>
          <w:p w:rsidR="00FB29A6" w:rsidRPr="00DD363D" w:rsidRDefault="00FB29A6" w:rsidP="00A6408B">
            <w:pPr>
              <w:jc w:val="both"/>
            </w:pPr>
            <w:r w:rsidRPr="00DD363D">
              <w:t>Likuma “Par Valsts ieņēmumu dienestu” 14. pantā Valsts ieņēmumu dienesta Nodokļu un muitas policijai ir noteikti vairāki specifiski uzdevumi likumpārkāpumu atklāšanā valsts ieņēmumu un muitas lietu jomā:</w:t>
            </w:r>
          </w:p>
          <w:p w:rsidR="00FB29A6" w:rsidRPr="00DD363D" w:rsidRDefault="00FB29A6" w:rsidP="00A6408B">
            <w:pPr>
              <w:jc w:val="both"/>
            </w:pPr>
            <w:r w:rsidRPr="00DD363D">
              <w:t>•</w:t>
            </w:r>
            <w:r w:rsidRPr="00DD363D">
              <w:tab/>
              <w:t>veikt likumā noteikto operatīvo darbību, lai atklātu un novērstu noziedzīgus nodarījumus valsts ieņēmumu jomā;</w:t>
            </w:r>
          </w:p>
          <w:p w:rsidR="00FB29A6" w:rsidRPr="00DD363D" w:rsidRDefault="00FB29A6" w:rsidP="00A6408B">
            <w:pPr>
              <w:jc w:val="both"/>
            </w:pPr>
            <w:r w:rsidRPr="00DD363D">
              <w:t>•</w:t>
            </w:r>
            <w:r w:rsidRPr="00DD363D">
              <w:tab/>
              <w:t>veikt izmeklēšanu krimināllietās par noziedzīgiem nodarījumiem, kas konstatēti valsts ieņēmumu jomā;</w:t>
            </w:r>
          </w:p>
          <w:p w:rsidR="00FB29A6" w:rsidRPr="00DD363D" w:rsidRDefault="00FB29A6" w:rsidP="00A6408B">
            <w:pPr>
              <w:jc w:val="both"/>
            </w:pPr>
            <w:r w:rsidRPr="00DD363D">
              <w:t>•</w:t>
            </w:r>
            <w:r w:rsidRPr="00DD363D">
              <w:tab/>
              <w:t>pildīt starptautiskās saistības, kuras valsts uzņēmusies attiecībā uz muitas lietu jomu;</w:t>
            </w:r>
          </w:p>
          <w:p w:rsidR="00FB29A6" w:rsidRPr="00DD363D" w:rsidRDefault="00FB29A6" w:rsidP="00A6408B">
            <w:pPr>
              <w:jc w:val="both"/>
            </w:pPr>
            <w:r w:rsidRPr="00DD363D">
              <w:t>•</w:t>
            </w:r>
            <w:r w:rsidRPr="00DD363D">
              <w:tab/>
              <w:t>veikt izmeklēšanu lietās par noziedzīgiem nodarījumiem muitas lietu jomā un likumā noteikto operatīvo darbību, lai atklātu un novērstu noziedzīgus nodarījumus muitas lietu jomā;</w:t>
            </w:r>
          </w:p>
          <w:p w:rsidR="00FB29A6" w:rsidRPr="00DD363D" w:rsidRDefault="00FB29A6" w:rsidP="00A6408B">
            <w:pPr>
              <w:jc w:val="both"/>
            </w:pPr>
            <w:r w:rsidRPr="00DD363D">
              <w:t>•</w:t>
            </w:r>
            <w:r w:rsidRPr="00DD363D">
              <w:tab/>
              <w:t xml:space="preserve">ja nepieciešams, nodrošināt Valsts ieņēmumu dienesta ierēdņu (darbinieku) </w:t>
            </w:r>
            <w:r w:rsidRPr="00DD363D">
              <w:lastRenderedPageBreak/>
              <w:t>apsardzi sakarā ar viņu veicamajiem pienākumiem un to objektu apsardzi, kuros viņi atrodas.</w:t>
            </w:r>
          </w:p>
          <w:p w:rsidR="00FB29A6" w:rsidRPr="00DD363D" w:rsidRDefault="00FB29A6" w:rsidP="00A6408B">
            <w:pPr>
              <w:jc w:val="both"/>
            </w:pPr>
            <w:r w:rsidRPr="00DD363D">
              <w:t>Lai nodrošinātu minēto uzdevumu izpildi, jāņem vērā, ka Valsts ieņēmumu dienesta Nodokļu un muitas policijas pārvaldes struktūrvienībās nodarbinātie veic funkcijas, kuru pārtraukšana var ietekmēt un būtisk</w:t>
            </w:r>
            <w:r>
              <w:t>i</w:t>
            </w:r>
            <w:r w:rsidRPr="00DD363D">
              <w:t xml:space="preserve"> </w:t>
            </w:r>
            <w:r>
              <w:t>apdraudēt</w:t>
            </w:r>
            <w:r w:rsidRPr="00DD363D">
              <w:t xml:space="preserve"> valsts ekonomisk</w:t>
            </w:r>
            <w:r>
              <w:t>o</w:t>
            </w:r>
            <w:r w:rsidRPr="00DD363D">
              <w:t xml:space="preserve"> un sabiedrības drošīb</w:t>
            </w:r>
            <w:r>
              <w:t>u</w:t>
            </w:r>
            <w:r w:rsidRPr="00DD363D">
              <w:t>, kā arī labklājīb</w:t>
            </w:r>
            <w:r>
              <w:t>u</w:t>
            </w:r>
            <w:r w:rsidRPr="00DD363D">
              <w:t>.</w:t>
            </w:r>
          </w:p>
          <w:p w:rsidR="00FB29A6" w:rsidRPr="00DD363D" w:rsidRDefault="00FB29A6" w:rsidP="00A6408B">
            <w:pPr>
              <w:jc w:val="both"/>
            </w:pPr>
            <w:r w:rsidRPr="00DD363D">
              <w:t>Valsts ieņēmumu dienesta ieskatā nav iespējams noteikt minimālo darba apjomu (t.</w:t>
            </w:r>
            <w:r>
              <w:t> </w:t>
            </w:r>
            <w:r w:rsidRPr="00DD363D">
              <w:t xml:space="preserve">sk. atsevišķus amatus), kas varētu tikt veikts streika gadījumā, jo Valsts ieņēmumu dienesta Nodokļu un muitas policijas pārvaldes noteikto uzdevumu izpilde tiek nodrošināta nepārtrauktas un savstarpēji pakārtotas struktūrvienību sadarbības rezultātā. </w:t>
            </w:r>
          </w:p>
          <w:p w:rsidR="00FB29A6" w:rsidRPr="00DD363D" w:rsidRDefault="00FB29A6" w:rsidP="00A6408B">
            <w:pPr>
              <w:jc w:val="both"/>
            </w:pPr>
            <w:r>
              <w:t>Lai a</w:t>
            </w:r>
            <w:r w:rsidRPr="00DD363D">
              <w:t>tklā</w:t>
            </w:r>
            <w:r>
              <w:t>tu</w:t>
            </w:r>
            <w:r w:rsidRPr="00DD363D">
              <w:t xml:space="preserve"> un novēr</w:t>
            </w:r>
            <w:r>
              <w:t>stu</w:t>
            </w:r>
            <w:r w:rsidRPr="00DD363D">
              <w:t xml:space="preserve"> noziedzīgus nodarījumus valsts ieņēmumu un muitas lietu jomā, ir ļoti būtisk</w:t>
            </w:r>
            <w:r>
              <w:t>i</w:t>
            </w:r>
            <w:r w:rsidRPr="00DD363D">
              <w:t xml:space="preserve"> kvalitatīv</w:t>
            </w:r>
            <w:r>
              <w:t>i veikt</w:t>
            </w:r>
            <w:r w:rsidRPr="00DD363D">
              <w:t xml:space="preserve"> </w:t>
            </w:r>
            <w:proofErr w:type="spellStart"/>
            <w:r w:rsidRPr="00DD363D">
              <w:t>kriminālizlūkošanas</w:t>
            </w:r>
            <w:proofErr w:type="spellEnd"/>
            <w:r w:rsidRPr="00DD363D">
              <w:t xml:space="preserve"> un operatīv</w:t>
            </w:r>
            <w:r>
              <w:t>ās</w:t>
            </w:r>
            <w:r w:rsidRPr="00DD363D">
              <w:t xml:space="preserve"> darbīb</w:t>
            </w:r>
            <w:r>
              <w:t>as</w:t>
            </w:r>
            <w:r w:rsidRPr="00DD363D">
              <w:t xml:space="preserve"> un operatīvā ceļā iegūtās informācijas analīz</w:t>
            </w:r>
            <w:r>
              <w:t>i</w:t>
            </w:r>
            <w:r w:rsidRPr="00DD363D">
              <w:t>, uzkrāšan</w:t>
            </w:r>
            <w:r>
              <w:t>u</w:t>
            </w:r>
            <w:r w:rsidRPr="00DD363D">
              <w:t>, apkopošan</w:t>
            </w:r>
            <w:r>
              <w:t>u</w:t>
            </w:r>
            <w:r w:rsidRPr="00DD363D">
              <w:t xml:space="preserve"> un novērtēšan</w:t>
            </w:r>
            <w:r>
              <w:t>u</w:t>
            </w:r>
            <w:r w:rsidRPr="00DD363D">
              <w:t xml:space="preserve">, ko nodrošina Valsts ieņēmumu dienesta Nodokļu un muitas policijas pārvaldes Finanšu izlūkošanas daļa, Muitas lietu izlūkošanas daļa un Izlūkošanas analītiskā daļa. Vienlaikus muitas lietu jomā ir ļoti svarīga informācijas un atbalsta nodrošināšana diennakts režīmā (24/7) Latvijas un ārvalstu muitas struktūrvienībām, tai skaitā starptautiskajām organizācijām, kā arī starptautiskajām muitas operācijām, kas ietilpst </w:t>
            </w:r>
            <w:r w:rsidRPr="00DD363D">
              <w:lastRenderedPageBreak/>
              <w:t xml:space="preserve">Valsts ieņēmumu dienesta Nodokļu un muitas policijas pārvaldes Sadarbības daļas un Taktisko uzdevumu daļas kompetencē. Papildus tam, lai tiktu nodrošināta efektīva citu specifisku procesu izpilde, tiek iesaistītas arī vairākas citas struktūrvienības – piemēram, Valsts ieņēmumu dienesta Nodokļu un muitas policijas pārvaldes Specializēto uzdevumu daļa nodrošina operatīvās darbības pasākumu izpildi IT jomā vai izmantojot tehniskos līdzekļus, kā arī nepieciešamības gadījumā veic slēpto novērošanu, savukārt Valsts ieņēmumu dienesta Nodokļu un muitas policijas pārvaldes Taktisko uzdevumu daļas amatpersonas nodrošina kriminālprocesā meklējamo personu atrašanu, veic efektīvus kontroles pasākumus un procesuālās darbības, nodrošina Valsts ieņēmumu dienesta ierēdņu un darbinieku apsardzi, kā arī viņu atrašanās vietu apsardzi atbilstoši nepieciešamībai. </w:t>
            </w:r>
          </w:p>
          <w:p w:rsidR="00FB29A6" w:rsidRPr="00DD363D" w:rsidRDefault="00FB29A6" w:rsidP="00A6408B">
            <w:pPr>
              <w:jc w:val="both"/>
            </w:pPr>
            <w:r w:rsidRPr="00DD363D">
              <w:t xml:space="preserve">Vienlaikus pamatdarbības procesu īstenošanai ir būtiski svarīga arī atbalsta funkciju nodrošināšana, piemēram, Valsts ieņēmumu dienesta Nodokļu un muitas policijas pārvaldes Sadarbības daļa nodrošina kriminālprocesuālo dokumentu uzskaiti, Slepenības režīma nodrošināšanas un informācijas tehnoloģiju atbalsta daļa nodrošina slepenības režīma, valsts noslēpuma objektu, Ziemeļatlantijas Līguma organizāciju, Eiropas savienības klasificētās informācijas un informācijas dienesta vajadzībām aizsardzību un nodrošina informācijas sistēmu darbību atbilstoši </w:t>
            </w:r>
            <w:r w:rsidRPr="00DD363D">
              <w:lastRenderedPageBreak/>
              <w:t xml:space="preserve">normatīvajiem aktiem un Valsts ieņēmumu dienesta izvirzītajām prasībām, lietotāju darbības nepārtrauktību, informācijas un komunikācijas tehnoloģiju infrastruktūras attīstības pasākumu plānošanu un īstenošanu atbilstoši normatīvo aktu prasībām. Savukārt Valsts ieņēmumu dienesta Nodokļu un muitas policijas pārvaldes Administratīvās vadības daļa </w:t>
            </w:r>
            <w:r>
              <w:t>nodrošina</w:t>
            </w:r>
            <w:r w:rsidRPr="00DD363D">
              <w:t xml:space="preserve"> operatīvu Valsts ieņēmumu dienesta Nodokļu un muitas policijas pārvaldes struktūrvienību dokumentu apriti, sistematizēšanu un glabāšanu.</w:t>
            </w:r>
          </w:p>
          <w:p w:rsidR="00FB29A6" w:rsidRPr="00DD363D" w:rsidRDefault="00FB29A6" w:rsidP="00A6408B">
            <w:pPr>
              <w:jc w:val="both"/>
            </w:pPr>
            <w:r w:rsidRPr="00DD363D">
              <w:t xml:space="preserve">Lai veiktu efektīvu un profesionālu </w:t>
            </w:r>
            <w:proofErr w:type="spellStart"/>
            <w:r w:rsidRPr="00DD363D">
              <w:t>pirmstiesas</w:t>
            </w:r>
            <w:proofErr w:type="spellEnd"/>
            <w:r w:rsidRPr="00DD363D">
              <w:t xml:space="preserve"> kriminālprocesu izmeklēšanu valsts ieņēmumu un muitas lietu jomā, ko nodrošina Valsts ieņēmumu dienesta Nodokļu un muitas policijas pārvaldes izmeklēšanas struktūrvienību amatpersonas, ir būtiska visu Valsts ieņēmumu dienesta Nodokļu un muitas policijas pārvaldes struktūrvienību iesaiste. 2020. gada desmit mēnešu laikā Valsts ieņēmumu dienesta Nodokļu un muitas policijas pārvalde kriminālvajāšanas uzsākšanai kopumā ir nosūtījusi 200</w:t>
            </w:r>
            <w:r>
              <w:t> </w:t>
            </w:r>
            <w:r w:rsidRPr="00DD363D">
              <w:t>kriminālprocesus. Kriminālvajāšanas uzsākšanai nosūtītajos kriminālprocesos konstatētais valstij nodarītais zaudējumu apjoms ir 7</w:t>
            </w:r>
            <w:r>
              <w:t> </w:t>
            </w:r>
            <w:r w:rsidRPr="00DD363D">
              <w:t>451</w:t>
            </w:r>
            <w:r>
              <w:t> </w:t>
            </w:r>
            <w:r w:rsidRPr="00DD363D">
              <w:t>138</w:t>
            </w:r>
            <w:r>
              <w:t> </w:t>
            </w:r>
            <w:r w:rsidRPr="00DD363D">
              <w:t xml:space="preserve">EUR, savukārt novērstais kaitējums </w:t>
            </w:r>
            <w:r>
              <w:t>(</w:t>
            </w:r>
            <w:r w:rsidRPr="00DD363D">
              <w:t>gadījumos, kad to ir iespējams aprēķināt</w:t>
            </w:r>
            <w:r>
              <w:t>)</w:t>
            </w:r>
            <w:r w:rsidRPr="00DD363D">
              <w:t xml:space="preserve"> ir nosakāms 830</w:t>
            </w:r>
            <w:r>
              <w:t> </w:t>
            </w:r>
            <w:r w:rsidRPr="00DD363D">
              <w:t>360</w:t>
            </w:r>
            <w:r>
              <w:t> </w:t>
            </w:r>
            <w:r w:rsidRPr="00DD363D">
              <w:t>EUR apmērā. Norādītajā periodā ir atklāta un pārtraukta 14</w:t>
            </w:r>
            <w:r>
              <w:t> </w:t>
            </w:r>
            <w:r w:rsidRPr="00DD363D">
              <w:t xml:space="preserve">organizētu noziedzīgu grupējumu darbība – </w:t>
            </w:r>
            <w:r>
              <w:t xml:space="preserve">astoņi </w:t>
            </w:r>
            <w:r w:rsidRPr="00DD363D">
              <w:t>grupējumi darbojās muitas lietu jomā (</w:t>
            </w:r>
            <w:r>
              <w:t>pieci</w:t>
            </w:r>
            <w:r w:rsidRPr="00DD363D">
              <w:t xml:space="preserve"> akcīzes preču aprites jomā, </w:t>
            </w:r>
            <w:r>
              <w:t>trīs</w:t>
            </w:r>
            <w:r w:rsidRPr="00DD363D">
              <w:t xml:space="preserve"> </w:t>
            </w:r>
            <w:r w:rsidRPr="00DD363D">
              <w:lastRenderedPageBreak/>
              <w:t>narkotisko vielu aprites jomā)</w:t>
            </w:r>
            <w:r>
              <w:t>,</w:t>
            </w:r>
            <w:r w:rsidRPr="00DD363D">
              <w:t xml:space="preserve"> un </w:t>
            </w:r>
            <w:r>
              <w:t>seši</w:t>
            </w:r>
            <w:r w:rsidRPr="00DD363D">
              <w:t xml:space="preserve"> grupējumi </w:t>
            </w:r>
            <w:r>
              <w:t>–</w:t>
            </w:r>
            <w:r w:rsidRPr="00DD363D">
              <w:t xml:space="preserve"> valsts ieņēmumu jomā. Turklāt 940</w:t>
            </w:r>
            <w:r>
              <w:t> </w:t>
            </w:r>
            <w:r w:rsidRPr="00DD363D">
              <w:t>466</w:t>
            </w:r>
            <w:r>
              <w:t> </w:t>
            </w:r>
            <w:r w:rsidRPr="00DD363D">
              <w:t xml:space="preserve">EUR ir atzīti par noziedzīgi iegūtu mantu un ieskaitāmi valsts budžetā. </w:t>
            </w:r>
          </w:p>
          <w:p w:rsidR="00FB29A6" w:rsidRPr="00DD363D" w:rsidRDefault="00FB29A6" w:rsidP="00A6408B">
            <w:pPr>
              <w:jc w:val="both"/>
            </w:pPr>
            <w:r w:rsidRPr="00DD363D">
              <w:t>Valsts ieņēmumu dienesta Nodokļu un muitas policijas pārvaldes 87</w:t>
            </w:r>
            <w:r>
              <w:t> </w:t>
            </w:r>
            <w:r w:rsidRPr="00DD363D">
              <w:t>% amatpersonu galvenie amata pienākumi ir tieši saistīti ar noziedzīgu nodarījumu atklāšanu un novēršanu valsts ieņēmumu un muitas lietu jomā, bet veiksmīg</w:t>
            </w:r>
            <w:r>
              <w:t>ā</w:t>
            </w:r>
            <w:r w:rsidRPr="00DD363D">
              <w:t>, efektīv</w:t>
            </w:r>
            <w:r>
              <w:t>ā</w:t>
            </w:r>
            <w:r w:rsidRPr="00DD363D">
              <w:t xml:space="preserve"> un uz rezultātu orientēt</w:t>
            </w:r>
            <w:r>
              <w:t>ā</w:t>
            </w:r>
            <w:r w:rsidRPr="00DD363D">
              <w:t xml:space="preserve"> pamatdarbības funkciju nodrošināšan</w:t>
            </w:r>
            <w:r>
              <w:t>ā</w:t>
            </w:r>
            <w:r w:rsidRPr="00DD363D">
              <w:t xml:space="preserve"> ir būtiski liela ietekme atbalsta funkciju struktūrvienību sniegtajam ieguldījumam un darba kvalitātei. T</w:t>
            </w:r>
            <w:r>
              <w:t>ā</w:t>
            </w:r>
            <w:r w:rsidRPr="00DD363D">
              <w:t xml:space="preserve">dēļ sekmīgas un efektīvas tiesībaizsardzības iestādes pamatdarbības funkciju nodrošināšanas pamatā ir mērķtiecīga struktūrvienību savstarpējā sadarbība. </w:t>
            </w:r>
          </w:p>
          <w:p w:rsidR="00FB29A6" w:rsidRPr="00DD363D" w:rsidRDefault="00FB29A6" w:rsidP="00A6408B">
            <w:pPr>
              <w:jc w:val="both"/>
            </w:pPr>
            <w:r w:rsidRPr="00DD363D">
              <w:t>Streiku likuma 16. pantā ir noteikts, ka streikot ir aizliegts tiesnešiem, prokuroriem, policijas darbiniekiem, ugunsdrošības, ugunsdzēsības un glābšanas dienestu darbiniekiem, robežsargiem, valsts drošības iestāžu darbiniekiem, ieslodzījuma vietu uzraugiem un personām, kas dienē Nacionālajos bruņotajos spēkos. Atbilstoši likum</w:t>
            </w:r>
            <w:r>
              <w:t>a</w:t>
            </w:r>
            <w:r w:rsidRPr="00DD363D">
              <w:t xml:space="preserve"> “Par policiju” 3. pantā noteiktajam viens no policijas uzdevumiem ir novērst noziedzīgus nodarījumus un citus likumpārkāpumus un atklāt noziedzīgus nodarījumus, meklēt personas, kas izdarījušas noziedzīgus nodarījumus, </w:t>
            </w:r>
            <w:r>
              <w:t>un t</w:t>
            </w:r>
            <w:r w:rsidRPr="00DD363D">
              <w:t>as salīdzināms ar likum</w:t>
            </w:r>
            <w:r>
              <w:t>a</w:t>
            </w:r>
            <w:r w:rsidRPr="00DD363D">
              <w:t xml:space="preserve"> “Par Valsts ieņēmumu dienestu” 14. pantā noteiktajiem Valsts ieņēmumu dienesta Nodokļu un muitas policijas pārvaldes </w:t>
            </w:r>
            <w:r w:rsidRPr="00DD363D">
              <w:lastRenderedPageBreak/>
              <w:t>uzdevumiem.</w:t>
            </w:r>
          </w:p>
          <w:p w:rsidR="00FB29A6" w:rsidRPr="00DD363D" w:rsidRDefault="00FB29A6" w:rsidP="00A6408B">
            <w:pPr>
              <w:jc w:val="both"/>
            </w:pPr>
            <w:r w:rsidRPr="00DD363D">
              <w:t>Ņemot vērā izklāstītos argumentus, secināms, ka Valsts ieņēmumu dienesta Nodokļu un muitas policijas</w:t>
            </w:r>
            <w:r>
              <w:t xml:space="preserve"> pārvaldē</w:t>
            </w:r>
            <w:r w:rsidRPr="00DD363D">
              <w:t xml:space="preserve"> nodarbinātie veic līdzvērtīgas nozīmes darba uzdevumu</w:t>
            </w:r>
            <w:r>
              <w:t>s</w:t>
            </w:r>
            <w:r w:rsidRPr="00DD363D">
              <w:t xml:space="preserve"> kā citu tiesībaizsardzības iestāžu amatpersonas un tād</w:t>
            </w:r>
            <w:r>
              <w:t>ē</w:t>
            </w:r>
            <w:r w:rsidRPr="00DD363D">
              <w:t>jādi ir iekļaujami Streiku likuma 16. pantā līdzās citu tiesībaizsardzības iestāžu amatpersonām, kurām ir noteikts aizliegums streikot.</w:t>
            </w:r>
          </w:p>
          <w:p w:rsidR="00FB29A6" w:rsidRPr="00DD363D" w:rsidRDefault="00FB29A6" w:rsidP="00A6408B">
            <w:pPr>
              <w:jc w:val="both"/>
            </w:pPr>
            <w:r w:rsidRPr="00DD363D">
              <w:t>Izvērtējot Valsts ieņēmumu dienesta Muitas pārvaldes funkcijas, konstatēts, ka Muitas pārvalde arī atsevišķās struktūrvienībās nodarbināto streika gadījumā nevarētu nodrošināt muitai noteikto funkciju izpildi, jo muita būtībā ir komplicēta struktūra, kurā katrs tās element</w:t>
            </w:r>
            <w:r>
              <w:t>s</w:t>
            </w:r>
            <w:r w:rsidRPr="00DD363D">
              <w:t xml:space="preserve"> nodrošina tādu funkciju izpildi, no kurām ir tieši atkarīga citu elementu funkciju izpilde</w:t>
            </w:r>
            <w:r>
              <w:t>.</w:t>
            </w:r>
            <w:r w:rsidRPr="00DD363D">
              <w:t xml:space="preserve"> </w:t>
            </w:r>
            <w:r>
              <w:t>T</w:t>
            </w:r>
            <w:r w:rsidRPr="00DD363D">
              <w:t xml:space="preserve">ādējādi, lai kopumā nodrošinātu muitas funkcijas, ir nepieciešams, lai šo funkciju nodrošināšanā bez kavēkļiem piedalītos visās Muitas pārvaldes struktūrvienībās nodarbinātie. Piemēram, lai nodrošinātu muitas kontroli attiecībā uz personām, kuras ieceļo </w:t>
            </w:r>
            <w:r>
              <w:t xml:space="preserve">Latvijas Republikā </w:t>
            </w:r>
            <w:r w:rsidRPr="00DD363D">
              <w:t xml:space="preserve">vai izceļo no </w:t>
            </w:r>
            <w:r>
              <w:t>tās</w:t>
            </w:r>
            <w:r w:rsidRPr="00DD363D">
              <w:t>, tādā apjomā, kas nepasliktina šo personu stāvokli salīdzinājumā ar stāvokli, kad streiks nenotiek, kā arī nodrošinātu, piemēram, Muitas likuma 19.</w:t>
            </w:r>
            <w:r w:rsidRPr="00CE0FB7">
              <w:rPr>
                <w:vertAlign w:val="superscript"/>
              </w:rPr>
              <w:t>1</w:t>
            </w:r>
            <w:r w:rsidRPr="00DD363D">
              <w:t> pantā minēto muitošanu, tādu preču muitošan</w:t>
            </w:r>
            <w:r>
              <w:t>u</w:t>
            </w:r>
            <w:r w:rsidRPr="00DD363D">
              <w:t>, kuras ieved Latvijas Republikā vai izved no tās saistībā ar ārkārt</w:t>
            </w:r>
            <w:r>
              <w:t>ēju</w:t>
            </w:r>
            <w:r w:rsidRPr="00DD363D">
              <w:t xml:space="preserve"> situāciju, katastrofu seku novēršanu, personu glābšanu, stihiskām nelaimēm, humanitāro </w:t>
            </w:r>
            <w:r w:rsidRPr="00DD363D">
              <w:lastRenderedPageBreak/>
              <w:t xml:space="preserve">krīzi, vienlaikus nodrošinot, ka muitas kontrole notiek pilnvērtīgi attiecībā uz iespējamajiem riskiem sabiedrības drošumam un drošībai, ir nepieciešams, lai tiešos pienākumus pilnā apjomā veiktu arī citās Muitas pārvaldes struktūrvienībās nodarbinātie, ne vien tieši Muitas pārvaldes muitas kontroles punktā, caur kuru persona ieceļo Latvijas Republikā vai izceļo no tās vai caur kuru tiek pārvietotas attiecīgās preces. Būtiski ir  nodrošināt Muitas pārvaldē izmantoto IT sistēmu darbību (sistēmu atteikumu gadījumā var tikt paralizēts muitas darbs), muitas procedūru izpildes uzraudzību (nepietiekamas uzraudzības gadījumā Latvijas Republikai varētu rasties finansiālas saistības attiecībā pret Eiropas Savienības budžetu), </w:t>
            </w:r>
            <w:r>
              <w:t xml:space="preserve">Eiropas </w:t>
            </w:r>
            <w:r w:rsidRPr="00DD363D">
              <w:t>Savienības un nacionālo muitas risku vadību, juridisko atbalstu, tarifu kvotu administrēšanu, maksājumu administrēšanu. Īpaši ņemams vērā, ka uz muitošanai pakļautu preču pārvietošanu attiecas visā Eiropas Savienībā tieši piemērojamas tiesību normas un muitas amatpersonas lēmuma kavēta pieņemšana var ietekmēt citas Eiropas Savienības valsts muitas dienesta darbību (piemēram, tranzīta procedūras izpildes uzraudzīb</w:t>
            </w:r>
            <w:r>
              <w:t>u</w:t>
            </w:r>
            <w:r w:rsidRPr="00DD363D">
              <w:t>).</w:t>
            </w:r>
          </w:p>
          <w:p w:rsidR="00FB29A6" w:rsidRPr="00DD363D" w:rsidRDefault="00FB29A6" w:rsidP="00A6408B">
            <w:pPr>
              <w:jc w:val="both"/>
            </w:pPr>
            <w:r w:rsidRPr="00DD363D">
              <w:t xml:space="preserve">Veicot detalizētu </w:t>
            </w:r>
            <w:r>
              <w:t xml:space="preserve">Valsts ieņēmumu dienesta </w:t>
            </w:r>
            <w:r w:rsidRPr="00DD363D">
              <w:t xml:space="preserve">Muitas pārvaldes un Nodokļu un muitas policijas pārvaldes funkciju </w:t>
            </w:r>
            <w:proofErr w:type="spellStart"/>
            <w:r w:rsidRPr="00DD363D">
              <w:t>izvērtējumu</w:t>
            </w:r>
            <w:proofErr w:type="spellEnd"/>
            <w:r w:rsidRPr="00DD363D">
              <w:t>, secināts, ka nav iespējams noteikt konkrētus amatus vai struktūrvienības, kurām bū</w:t>
            </w:r>
            <w:r>
              <w:t>tu</w:t>
            </w:r>
            <w:r w:rsidRPr="00DD363D">
              <w:t xml:space="preserve"> atļauts streikot vai streika gadījumā būtu jānodrošina </w:t>
            </w:r>
            <w:r w:rsidRPr="00DD363D">
              <w:lastRenderedPageBreak/>
              <w:t>darbs minimālajā apjomā. Gan Muitas pārvaldes, gan Nodokļu un muitas policijas pārvaldes atsevišķas struktūrvienības nespēs nodrošināt savu darbu autonomi</w:t>
            </w:r>
            <w:r>
              <w:t>,</w:t>
            </w:r>
            <w:r w:rsidRPr="00DD363D">
              <w:t xml:space="preserve"> nesadarbojoties un nesaņemot atbalstu no citām struktūrvienībām. Tādējādi Valsts ieņēmumu dienesta ieskatā vienīgais veids, k</w:t>
            </w:r>
            <w:r>
              <w:t>ā</w:t>
            </w:r>
            <w:r w:rsidRPr="00DD363D">
              <w:t xml:space="preserve"> nodrošināt nepārtrauktu Muitas pārvaldes un Nodokļu un muitas policijas pārvaldes darbu, neradot draudus valsts, visas sabiedrības, kādas iedzīvotāju grupas vai atsevišķu indivīdu drošībai, veselībai vai dzīvībai</w:t>
            </w:r>
            <w:r>
              <w:t>,</w:t>
            </w:r>
            <w:r w:rsidRPr="00DD363D">
              <w:t xml:space="preserve"> ir aizliegt minēto pārvalžu darbiniekiem streikot.”</w:t>
            </w:r>
          </w:p>
          <w:p w:rsidR="00FB29A6" w:rsidRPr="00DD363D" w:rsidRDefault="00FB29A6" w:rsidP="00A6408B">
            <w:pPr>
              <w:jc w:val="both"/>
            </w:pPr>
          </w:p>
          <w:p w:rsidR="00FB29A6" w:rsidRPr="00DD363D" w:rsidRDefault="00FB29A6" w:rsidP="002979E8">
            <w:pPr>
              <w:jc w:val="both"/>
            </w:pP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5F429F">
            <w:pPr>
              <w:pStyle w:val="naisc"/>
              <w:spacing w:before="0" w:after="0"/>
              <w:jc w:val="left"/>
            </w:pPr>
            <w:r w:rsidRPr="00DD363D">
              <w:lastRenderedPageBreak/>
              <w:t>1</w:t>
            </w:r>
            <w:r>
              <w:t>3</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 xml:space="preserve">Tieslietu ministrijas 23.10.2020. iebildums </w:t>
            </w:r>
          </w:p>
          <w:p w:rsidR="00FB29A6" w:rsidRPr="00DD363D" w:rsidRDefault="00FB29A6" w:rsidP="00831ED5">
            <w:pPr>
              <w:pStyle w:val="naisc"/>
              <w:jc w:val="both"/>
            </w:pPr>
            <w:r w:rsidRPr="00DD363D">
              <w:t xml:space="preserve">Atkārtoti norādām, ka projekts ierobežo VID darbinieku tiesības streikot, līdz ar to lūdzam papildināt anotācijas II sadaļu ar </w:t>
            </w:r>
            <w:proofErr w:type="spellStart"/>
            <w:r w:rsidRPr="00DD363D">
              <w:t>izvērtējumu</w:t>
            </w:r>
            <w:proofErr w:type="spellEnd"/>
            <w:r w:rsidRPr="00DD363D">
              <w:t xml:space="preserve"> par projekta ietekmi uz šo sabiedrības </w:t>
            </w:r>
            <w:proofErr w:type="spellStart"/>
            <w:r w:rsidRPr="00DD363D">
              <w:t>mērķgrupu</w:t>
            </w:r>
            <w:proofErr w:type="spellEnd"/>
            <w:r w:rsidRPr="00DD363D">
              <w:t xml:space="preserve">. Tāpat norādām, ka projekta anotācijā nav izvērtēta projekta iespējamā ietekme uz VID cilvēkresursiem un šāds </w:t>
            </w:r>
            <w:proofErr w:type="spellStart"/>
            <w:r w:rsidRPr="00DD363D">
              <w:t>izvērtējums</w:t>
            </w:r>
            <w:proofErr w:type="spellEnd"/>
            <w:r w:rsidRPr="00DD363D">
              <w:t xml:space="preserve"> anotācijā ir nepieciešams. </w:t>
            </w:r>
          </w:p>
          <w:p w:rsidR="00FB29A6" w:rsidRPr="00DD363D" w:rsidRDefault="00FB29A6" w:rsidP="00831ED5">
            <w:pPr>
              <w:pStyle w:val="naisc"/>
              <w:jc w:val="both"/>
            </w:pPr>
            <w:r w:rsidRPr="00DD363D">
              <w:t xml:space="preserve">Papildus vēršam uzmanību uz izziņā norādīto, proti, ka Nodokļu un muitas policijas pārvaldes un Muitas pārvaldes struktūrvienībās nodarbinātie veic funkcijas, kuru </w:t>
            </w:r>
            <w:r w:rsidRPr="00DD363D">
              <w:lastRenderedPageBreak/>
              <w:t>pārtraukšana var radīt draudus valstij un visai sabiedrībai, taču anotācijas II sadaļas 1. punktā sabiedrība netiek norādīta.</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5F23D6">
            <w:pPr>
              <w:spacing w:before="40" w:after="40"/>
              <w:jc w:val="center"/>
              <w:rPr>
                <w:b/>
              </w:rPr>
            </w:pPr>
            <w:r w:rsidRPr="00DD363D">
              <w:rPr>
                <w:b/>
              </w:rPr>
              <w:lastRenderedPageBreak/>
              <w:t>Iebildums ņemts vērā daļēji, likumprojekta anotācija precizēta</w:t>
            </w:r>
          </w:p>
          <w:p w:rsidR="00FB29A6" w:rsidRPr="00DD363D" w:rsidRDefault="00FB29A6" w:rsidP="00417C61">
            <w:pPr>
              <w:spacing w:before="40" w:after="40"/>
              <w:jc w:val="both"/>
            </w:pPr>
            <w:r w:rsidRPr="00DD363D">
              <w:t>Likumprojekta anotācijas II</w:t>
            </w:r>
            <w:r>
              <w:t> </w:t>
            </w:r>
            <w:r w:rsidRPr="00DD363D">
              <w:t xml:space="preserve">sadaļas 1. punktā paredzēts, ka viena no </w:t>
            </w:r>
            <w:proofErr w:type="spellStart"/>
            <w:r w:rsidRPr="00DD363D">
              <w:t>mērķgrupām</w:t>
            </w:r>
            <w:proofErr w:type="spellEnd"/>
            <w:r w:rsidRPr="00DD363D">
              <w:t>, kuru projekts ietekmē, ir Valsts ieņēmumu dienestā nodarbinātie.</w:t>
            </w:r>
          </w:p>
          <w:p w:rsidR="00FB29A6" w:rsidRPr="00DD363D" w:rsidRDefault="00FB29A6" w:rsidP="00CE0FB7">
            <w:pPr>
              <w:spacing w:before="40" w:after="40"/>
              <w:jc w:val="both"/>
            </w:pPr>
            <w:r w:rsidRPr="00DD363D">
              <w:t xml:space="preserve">Likumprojekta iespējamā ietekme uz Valsts ieņēmumu dienesta cilvēkresursiem likumprojekta anotācijā ir izvērtēta, konstatējot, ka likumprojekta izpildes nodrošināšanai netiks pieņemti jauni nodarbinātie un likumprojektā noteiktās prasības paredzēts </w:t>
            </w:r>
            <w:r>
              <w:t>īstenot, izmantojot</w:t>
            </w:r>
            <w:r w:rsidRPr="00DD363D">
              <w:t xml:space="preserve"> Valsts ieņēmumu dienesta </w:t>
            </w:r>
            <w:r>
              <w:lastRenderedPageBreak/>
              <w:t>pašreizējos</w:t>
            </w:r>
            <w:r w:rsidRPr="00DD363D">
              <w:t xml:space="preserve"> cilvēkresursu</w:t>
            </w:r>
            <w:r>
              <w:t>s</w:t>
            </w:r>
            <w:r w:rsidRPr="00DD363D">
              <w:t xml:space="preserve"> (sk. likumprojekta anotācijas VII</w:t>
            </w:r>
            <w:r>
              <w:t> </w:t>
            </w:r>
            <w:r w:rsidRPr="00DD363D">
              <w:t>sadaļas 2. punktu).</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lastRenderedPageBreak/>
              <w:t>Precizēts likumprojekta anotācijas II</w:t>
            </w:r>
            <w:r>
              <w:t> </w:t>
            </w:r>
            <w:r w:rsidRPr="00DD363D">
              <w:t xml:space="preserve">sadaļas 1. punkts, norādot “sabiedrību” kā </w:t>
            </w:r>
            <w:proofErr w:type="spellStart"/>
            <w:r w:rsidRPr="00DD363D">
              <w:t>mērķgrupu</w:t>
            </w:r>
            <w:proofErr w:type="spellEnd"/>
            <w:r w:rsidRPr="00DD363D">
              <w:t xml:space="preserve">, kuru tiesiskais regulējums ietekmē vai varētu ietekmēt. </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5F429F">
            <w:pPr>
              <w:pStyle w:val="naisc"/>
              <w:spacing w:before="0" w:after="0"/>
              <w:jc w:val="left"/>
            </w:pPr>
            <w:r w:rsidRPr="00DD363D">
              <w:t>1</w:t>
            </w:r>
            <w:r>
              <w:t>4</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BE0138">
            <w:pPr>
              <w:pStyle w:val="naisc"/>
              <w:jc w:val="both"/>
              <w:rPr>
                <w:b/>
              </w:rPr>
            </w:pPr>
            <w:r w:rsidRPr="00DD363D">
              <w:rPr>
                <w:b/>
              </w:rPr>
              <w:t>Tieslietu ministrijas 23.10.2020. iebildums</w:t>
            </w:r>
          </w:p>
          <w:p w:rsidR="00FB29A6" w:rsidRPr="00DD363D" w:rsidRDefault="00FB29A6" w:rsidP="00BE0138">
            <w:pPr>
              <w:pStyle w:val="naisc"/>
              <w:jc w:val="both"/>
            </w:pPr>
            <w:r w:rsidRPr="00DD363D">
              <w:t xml:space="preserve">Atkārtoti vēršam uzmanību uz to, ka veicot izmaiņas amata aprakstos (darba līgumos) arī esošo resursu ietvarā, radīsies papildu administratīvais slogs VID (vismaz sākotnēji), kas ir jāatspoguļo projekta anotācijā. Tāpat atbilstoši Streiku likuma 17. punkta trešajai daļai pirms streika uzsākšanas darba devējs un streika komiteja </w:t>
            </w:r>
            <w:proofErr w:type="spellStart"/>
            <w:r w:rsidRPr="00DD363D">
              <w:t>rakstveidā</w:t>
            </w:r>
            <w:proofErr w:type="spellEnd"/>
            <w:r w:rsidRPr="00DD363D">
              <w:t xml:space="preserve"> vienojas un no tiem darbiniekiem, kas piedalīsies streikā, norīko noteiktu skaitu darbinieku, kuri veiks šā panta pirmajā daļā minēto darbu streika laikā, kā arī nosaka minēto darbinieku praktiskās darbības apjomu un dod konkrētus rīkojumus. No minētā izriet, ka streika gadījumā darba devējam būs jāveic papildu darbības, tādējādi administratīvais slogs VID palielināsies un radīsies jaunas administratīvās izmaksas. Līdz ar to lūgums precizēt anotācijas II sadaļas 2. un 3. punktu.</w:t>
            </w:r>
          </w:p>
          <w:p w:rsidR="00FB29A6" w:rsidRPr="00DD363D" w:rsidRDefault="00FB29A6" w:rsidP="002F3B8A">
            <w:pPr>
              <w:pStyle w:val="naisc"/>
              <w:jc w:val="both"/>
            </w:pPr>
            <w:r w:rsidRPr="00DD363D">
              <w:t xml:space="preserve">Papildus lūdzam izvērtēt iespējamos riskus, ja VID nodarbinātie nepiekritīs </w:t>
            </w:r>
            <w:r w:rsidRPr="00DD363D">
              <w:lastRenderedPageBreak/>
              <w:t>izmaiņām amata aprakstā (darba līgumā).</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5F23D6">
            <w:pPr>
              <w:spacing w:before="40" w:after="40"/>
              <w:jc w:val="center"/>
              <w:rPr>
                <w:b/>
              </w:rPr>
            </w:pPr>
            <w:r w:rsidRPr="00DD363D">
              <w:rPr>
                <w:b/>
              </w:rPr>
              <w:lastRenderedPageBreak/>
              <w:t>Iebildums ņemts vērā</w:t>
            </w:r>
          </w:p>
          <w:p w:rsidR="00FB29A6" w:rsidRPr="00DD363D" w:rsidRDefault="00FB29A6" w:rsidP="00CE0FB7">
            <w:pPr>
              <w:spacing w:before="40" w:after="40"/>
            </w:pPr>
            <w:r w:rsidRPr="00DD363D">
              <w:t xml:space="preserve">Likumprojekts konceptuāli precizēts, paredzot, vispārēju tiesību streikot aizliegumu visiem </w:t>
            </w:r>
            <w:r>
              <w:t>Valsts ieņēmumu dienesta</w:t>
            </w:r>
            <w:r w:rsidRPr="00DD363D">
              <w:t xml:space="preserve"> Muitas pārvaldes un Nodokļu un muitas</w:t>
            </w:r>
            <w:r>
              <w:t xml:space="preserve"> policijas</w:t>
            </w:r>
            <w:r w:rsidRPr="00DD363D">
              <w:t xml:space="preserve"> pārvaldes nodarbinātajiem. </w:t>
            </w:r>
            <w:r>
              <w:t>Tādējādi</w:t>
            </w:r>
            <w:r w:rsidRPr="00DD363D">
              <w:t xml:space="preserve"> nepalielināsies </w:t>
            </w:r>
            <w:r>
              <w:t>Valsts ieņēmumu dienesta</w:t>
            </w:r>
            <w:r w:rsidRPr="00DD363D">
              <w:t xml:space="preserve"> administratīvais slogs un neradīsies jaunas administratīvās izmaksas.</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rsidRPr="00DD363D">
              <w:t>1</w:t>
            </w:r>
            <w:r>
              <w:t>5</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Tieslietu ministrijas 23.10.2020. iebildums</w:t>
            </w:r>
          </w:p>
          <w:p w:rsidR="00FB29A6" w:rsidRPr="00DD363D" w:rsidRDefault="00FB29A6" w:rsidP="001C6E21">
            <w:pPr>
              <w:pStyle w:val="naisc"/>
              <w:jc w:val="both"/>
            </w:pPr>
            <w:r w:rsidRPr="00DD363D">
              <w:t xml:space="preserve">Norādām, ka Eiropas Cilvēka tiesību un pamatbrīvību aizsardzības konvencija (turpmāk – Konvencija) ir starptautisks līgums, kas regulē cilvēktiesības, un tā pēc sava priekšmeta ir viens no līgumiem, kas minēts Satversmes 89. pantā. Konvencijas </w:t>
            </w:r>
            <w:r w:rsidRPr="00DD363D">
              <w:rPr>
                <w:u w:val="single"/>
              </w:rPr>
              <w:t>11. panta</w:t>
            </w:r>
            <w:r w:rsidRPr="00DD363D">
              <w:t xml:space="preserve"> pirmā daļa noteic, ka "jebkuram cilvēkam ir tiesības uz miermīlīgu pulcēšanās un biedrošanās brīvību, ieskaitot tiesības veidot arodbiedrības un iestāties tajās, lai aizstāvētu savas intereses". Ņemot vērā, ka Konvencija netieši ietver tiesības streikot, projekta anotācijas V sadaļu nepieciešams papildināt ar </w:t>
            </w:r>
            <w:proofErr w:type="spellStart"/>
            <w:r w:rsidRPr="00DD363D">
              <w:t>izvērtējumu</w:t>
            </w:r>
            <w:proofErr w:type="spellEnd"/>
            <w:r w:rsidRPr="00DD363D">
              <w:t xml:space="preserve"> par projekta atbilstību Konvencijas 11. panta pirmajai daļai.</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t>Iebildums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CE0FB7">
            <w:pPr>
              <w:jc w:val="both"/>
            </w:pPr>
            <w:r w:rsidRPr="00DD363D">
              <w:t>Papildināta likumprojekta anotācijas V</w:t>
            </w:r>
            <w:r>
              <w:t> </w:t>
            </w:r>
            <w:r w:rsidRPr="00DD363D">
              <w:t>sadaļa ar atsauci uz likumprojekta anotācijas I</w:t>
            </w:r>
            <w:r>
              <w:t> </w:t>
            </w:r>
            <w:r w:rsidRPr="00DD363D">
              <w:t>sadaļas 2. punktā</w:t>
            </w:r>
            <w:r>
              <w:t xml:space="preserve"> veikto </w:t>
            </w:r>
            <w:proofErr w:type="spellStart"/>
            <w:r>
              <w:t>izvērtējumu</w:t>
            </w:r>
            <w:proofErr w:type="spellEnd"/>
            <w:r>
              <w:t xml:space="preserve"> par </w:t>
            </w:r>
            <w:r w:rsidRPr="00DD363D">
              <w:t>likumprojekta atbilstīb</w:t>
            </w:r>
            <w:r>
              <w:t>u</w:t>
            </w:r>
            <w:r w:rsidRPr="00DD363D">
              <w:t xml:space="preserve"> Eiropas Cilvēka tiesību un pamatbrīvības aizsardzības konvencijas 11. panta </w:t>
            </w:r>
            <w:r>
              <w:t>1. punktam</w:t>
            </w:r>
            <w:r w:rsidRPr="00DD363D">
              <w:t xml:space="preserve">. </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rsidRPr="00DD363D">
              <w:t>1</w:t>
            </w:r>
            <w:r>
              <w:t>6</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Likumprojekta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Tieslietu ministrijas 23.10.2020. iebildums</w:t>
            </w:r>
          </w:p>
          <w:p w:rsidR="00FB29A6" w:rsidRPr="00DD363D" w:rsidRDefault="00FB29A6" w:rsidP="001C6E21">
            <w:pPr>
              <w:pStyle w:val="naisc"/>
              <w:jc w:val="both"/>
            </w:pPr>
            <w:r w:rsidRPr="00DD363D">
              <w:t xml:space="preserve">No anotācijas VI sadaļas 3. punkta izriet, ka Sabiedrības pārstāvju iebildumi un priekšlikumi nav saņemti, taču no izziņas izriet, ka Neatkarīgā muitnieku arodbiedrība ir izteikusi iebildumus. Vēršam uzmanību, ka sabiedrības pārstāvju </w:t>
            </w:r>
            <w:r w:rsidRPr="00DD363D">
              <w:lastRenderedPageBreak/>
              <w:t>līdzdarbības rezultātiem ir jābūt zināmiem un norādītiem anotācijā. Tādēļ lūgums tos norādīt anotācijas VI sadaļas 3. punktā atbilstoši Ministru kabineta 15.12.2009. instrukcijas Nr. 19 "Tiesību akta projekta sākotnējās ietekmes izvērtēšanas kārtība" (turpmāk – MK instrukcija Nr. 19) 62. punktam (</w:t>
            </w:r>
            <w:r w:rsidRPr="00DD363D">
              <w:rPr>
                <w:u w:val="single"/>
              </w:rPr>
              <w:t>norādot sabiedrības pārstāvju izteiktos būtiskākos priekšlikumus, un, vai un kādā veidā sabiedrības pārstāvju priekšlikumi ir ņemti vērā projekta izstrādes procesā, ja sabiedrības pārstāvju priekšlikumi nav tikuši ņemti vērā, norāda, kādēļ</w:t>
            </w:r>
            <w:r w:rsidRPr="00DD363D">
              <w:t>).</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lastRenderedPageBreak/>
              <w:t>Iebildums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Papildināts likumprojekta anotācijas VI</w:t>
            </w:r>
            <w:r>
              <w:t> </w:t>
            </w:r>
            <w:r w:rsidRPr="00DD363D">
              <w:t>sadaļas 3. punkts, norādot informāciju par Neatkarīgās muitnieku arodbiedrības izteiktajiem iebildumiem, vai un kādā veidā Neatkarīgā</w:t>
            </w:r>
            <w:r>
              <w:t>s</w:t>
            </w:r>
            <w:r w:rsidRPr="00DD363D">
              <w:t xml:space="preserve"> muitnieku arodbiedrības priekšlikumi ņemti vērtā (sk. likumprojekta anotācijas VI</w:t>
            </w:r>
            <w:r>
              <w:t> </w:t>
            </w:r>
            <w:r w:rsidRPr="00DD363D">
              <w:t xml:space="preserve">sadaļas 3. punktu). </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rsidRPr="00DD363D">
              <w:t>1</w:t>
            </w:r>
            <w:r>
              <w:t>7</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w:t>
            </w:r>
            <w:r>
              <w:t>a</w:t>
            </w:r>
            <w:r w:rsidRPr="00DD363D">
              <w:t xml:space="preserve">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Tieslietu ministrijas 23.10.2020. iebildums</w:t>
            </w:r>
          </w:p>
          <w:p w:rsidR="00FB29A6" w:rsidRPr="00DD363D" w:rsidRDefault="00FB29A6" w:rsidP="001C6E21">
            <w:pPr>
              <w:pStyle w:val="naisc"/>
              <w:jc w:val="both"/>
            </w:pPr>
            <w:r w:rsidRPr="00DD363D">
              <w:t>No izziņas izriet, ka projektam ir ietekme gan uz Valsts darba inspekciju, gan Nacionālās trīspusējās sadarbības padomi, taču anotācijas VII sadaļas 2. punktā netiek norādīta projekta izpildes ietekme uz pārvaldes funkcijām un institucionālo struktūru. Ievērojot minēto, lūdzam anotācijas VII sadaļas 2. punktu aizpildīt atbilstoši MK instrukcijas Nr. 19 66. punktam.</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t>Iebildums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Likumprojekta anotācijas VII</w:t>
            </w:r>
            <w:r>
              <w:t> </w:t>
            </w:r>
            <w:r w:rsidRPr="00DD363D">
              <w:t>sadaļas 2. punkts papildināts atbilstoši M</w:t>
            </w:r>
            <w:r>
              <w:t>inistru kabineta</w:t>
            </w:r>
            <w:r w:rsidRPr="00DD363D">
              <w:t xml:space="preserve"> instrukcijas Nr. 19 66. punktam. </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rsidRPr="00DD363D">
              <w:t>1</w:t>
            </w:r>
            <w:r>
              <w:t>8</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w:t>
            </w:r>
            <w:r>
              <w:t>a</w:t>
            </w:r>
            <w:r w:rsidRPr="00DD363D">
              <w:t xml:space="preserve">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Tieslietu ministrijas 11.03.2021. iebildums</w:t>
            </w:r>
          </w:p>
          <w:p w:rsidR="00FB29A6" w:rsidRPr="00DD363D" w:rsidRDefault="00FB29A6" w:rsidP="001C6E21">
            <w:pPr>
              <w:pStyle w:val="naisc"/>
              <w:jc w:val="both"/>
            </w:pPr>
            <w:r w:rsidRPr="00DD363D">
              <w:lastRenderedPageBreak/>
              <w:t xml:space="preserve">Vēršam uzmanību, ka saskaņā ar Ministru kabineta 2009. gada 15. decembra instrukciju Nr. 19 "Tiesību akta projekta sākotnējās ietekmes izvērtēšanas kārtība" (turpmāk – MK instrukcija Nr. 19) anotācijas II sadaļā cita starpā ir jāvērtē projekta ietekme uz sabiedrību (īpaši anotācijas II sadaļas 1. punktā norādītajām tieši vai netieši skartajām </w:t>
            </w:r>
            <w:proofErr w:type="spellStart"/>
            <w:r w:rsidRPr="00DD363D">
              <w:t>mērķgrupām</w:t>
            </w:r>
            <w:proofErr w:type="spellEnd"/>
            <w:r w:rsidRPr="00DD363D">
              <w:t xml:space="preserve">) un tautsaimniecību. Iepazīstoties ar projekta anotācijas II sadaļu, secināms, ka ietekme uz II sadaļas 1. punktā norādītajām tieši vai netieši skartajām </w:t>
            </w:r>
            <w:proofErr w:type="spellStart"/>
            <w:r w:rsidRPr="00DD363D">
              <w:t>mērķgrupām</w:t>
            </w:r>
            <w:proofErr w:type="spellEnd"/>
            <w:r w:rsidRPr="00DD363D">
              <w:t xml:space="preserve">, kā arī ietekme uz tautsaimniecību projekta anotācijas II sadaļā nav izvērtēta. Ievērojot minēto, aicinām papildināt anotācijas II sadaļu ar </w:t>
            </w:r>
            <w:proofErr w:type="spellStart"/>
            <w:r w:rsidRPr="00DD363D">
              <w:t>izvērtējumu</w:t>
            </w:r>
            <w:proofErr w:type="spellEnd"/>
            <w:r w:rsidRPr="00DD363D">
              <w:t xml:space="preserve"> atbilstoši MK instrukcijas Nr. 19 22.1. apakšpunktam.</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lastRenderedPageBreak/>
              <w:t>Iebildums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Likumprojekta anotācijas II</w:t>
            </w:r>
            <w:r>
              <w:t> </w:t>
            </w:r>
            <w:r w:rsidRPr="00DD363D">
              <w:t>sadaļas 2. punkts papildināts atbilstoši M</w:t>
            </w:r>
            <w:r>
              <w:t>inistru kabineta</w:t>
            </w:r>
            <w:r w:rsidRPr="00DD363D">
              <w:t xml:space="preserve"> instrukcijas Nr. 19 22.1.</w:t>
            </w:r>
            <w:r>
              <w:t> </w:t>
            </w:r>
            <w:r w:rsidRPr="00DD363D">
              <w:t>apakšpunktam.</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rsidRPr="00DD363D">
              <w:t>1</w:t>
            </w:r>
            <w:r>
              <w:t>9</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w:t>
            </w:r>
            <w:r>
              <w:t>a</w:t>
            </w:r>
            <w:r w:rsidRPr="00DD363D">
              <w:t xml:space="preserve">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1C6E21">
            <w:pPr>
              <w:pStyle w:val="naisc"/>
              <w:jc w:val="both"/>
              <w:rPr>
                <w:b/>
              </w:rPr>
            </w:pPr>
            <w:r w:rsidRPr="00DD363D">
              <w:rPr>
                <w:b/>
              </w:rPr>
              <w:t>Tieslietu ministrijas 11.03.2021. iebildums</w:t>
            </w:r>
          </w:p>
          <w:p w:rsidR="00FB29A6" w:rsidRDefault="00FB29A6" w:rsidP="001C6E21">
            <w:pPr>
              <w:pStyle w:val="naisc"/>
              <w:jc w:val="both"/>
            </w:pPr>
            <w:r w:rsidRPr="00DD363D">
              <w:t>Lūdzam precizēt anotācijas V sadaļā sniegto informāciju, jo ar šo projektu tiesības streikot Valsts ieņēmumu dienesta nodokļu un muitas policijas ierēdņiem (darbiniekiem), kā arī Valsts ieņēmumu dienesta muitas iestāžu ierēdņiem tiek liegtas, nevis saglabātas.</w:t>
            </w:r>
          </w:p>
          <w:p w:rsidR="00EB573C" w:rsidRPr="00DD363D" w:rsidRDefault="00EB573C" w:rsidP="001C6E21">
            <w:pPr>
              <w:pStyle w:val="naisc"/>
              <w:jc w:val="both"/>
            </w:pP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t>Iebildums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 xml:space="preserve">Papildināta </w:t>
            </w:r>
            <w:r>
              <w:t>l</w:t>
            </w:r>
            <w:r w:rsidRPr="00DD363D">
              <w:t>ikumprojekta anotācijas VI</w:t>
            </w:r>
            <w:r>
              <w:t> </w:t>
            </w:r>
            <w:r w:rsidRPr="00DD363D">
              <w:t>sadaļa.</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lastRenderedPageBreak/>
              <w:t>20</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Likumprojekts “Grozījums Streiku likumā”</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4A22D3">
            <w:pPr>
              <w:pStyle w:val="naisc"/>
              <w:jc w:val="both"/>
              <w:rPr>
                <w:b/>
              </w:rPr>
            </w:pPr>
            <w:r w:rsidRPr="00DD363D">
              <w:rPr>
                <w:b/>
              </w:rPr>
              <w:t>Tieslietu ministrijas 11.03.2021. priekšlikums</w:t>
            </w:r>
          </w:p>
          <w:p w:rsidR="00FB29A6" w:rsidRPr="00DD363D" w:rsidRDefault="00FB29A6" w:rsidP="00EE44AA">
            <w:pPr>
              <w:pStyle w:val="naisc"/>
              <w:jc w:val="both"/>
              <w:rPr>
                <w:b/>
              </w:rPr>
            </w:pPr>
            <w:r w:rsidRPr="00DD363D">
              <w:t>Lai būtu vieglāk izsekot, kas likumā mainās ar šiem grozījumiem, ierosinām neizteikt 16. pantu jaunā redakcijā, bet gan papildināt to ar nepieciešamajiem vārdiem.</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t>Priekšlikums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Precizēts likumprojekta 16. pants</w:t>
            </w:r>
            <w:r w:rsidR="00EB573C">
              <w:t>.</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5F429F">
            <w:pPr>
              <w:pStyle w:val="naisc"/>
              <w:spacing w:before="0" w:after="0"/>
              <w:jc w:val="left"/>
            </w:pPr>
            <w:r w:rsidRPr="00DD363D">
              <w:t>2</w:t>
            </w:r>
            <w:r>
              <w:t>1</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w:t>
            </w:r>
            <w:r>
              <w:t>a</w:t>
            </w:r>
            <w:r w:rsidRPr="00DD363D">
              <w:t xml:space="preserve">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4421BA">
            <w:pPr>
              <w:pStyle w:val="naisc"/>
              <w:jc w:val="both"/>
              <w:rPr>
                <w:b/>
              </w:rPr>
            </w:pPr>
            <w:r w:rsidRPr="00DD363D">
              <w:rPr>
                <w:b/>
              </w:rPr>
              <w:t>Tieslietu ministrijas 11.03.2021. priekšlikums</w:t>
            </w:r>
          </w:p>
          <w:p w:rsidR="00FB29A6" w:rsidRPr="00DD363D" w:rsidRDefault="00FB29A6" w:rsidP="004A22D3">
            <w:pPr>
              <w:pStyle w:val="naisc"/>
              <w:jc w:val="both"/>
            </w:pPr>
            <w:r w:rsidRPr="00DD363D">
              <w:t>Anotācijas I sadaļas 2. punktā norādīts, ka gadījumā, "ja nodokļu administrēšana un iekasēšana nebūs nodrošināta, nodokļu ieņēmumi valsts budžetā netiks saņemti un būs apdraudētas pabalstu, pensiju, kā arī valsts pārvaldē nodarbināto atalgojuma un cita veida izmaksas no valsts budžeta, tādējādi radot sabiedrības neapmierinātību un draudus valsts ekonomiskajai labklājībai un drošībai." Ierosinām izvērtēt minētā teksta nepieciešamību un pamatotību anotācijā, jo projekts neparedz streika ierobežojumus Valsts ieņēmumu dienestā kopumā, bet gan atsevišķās Valsts ieņēmumu dienesta struktūrvienībās. Turklāt nav saprotams, uz kādiem apsvērumiem ir balstīts vispārīgais apgalvojums, ka Valsts ieņēmumu dienesta darbinieku streika gadījumā nodokļu ieņēmumi valsts budžetā netiks saņemti.</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t>Priekšlikums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Precizēts anotācijas I</w:t>
            </w:r>
            <w:r>
              <w:t> </w:t>
            </w:r>
            <w:r w:rsidRPr="00DD363D">
              <w:t>sadaļas 2. punkts.</w:t>
            </w:r>
          </w:p>
        </w:tc>
      </w:tr>
      <w:tr w:rsidR="00FB29A6" w:rsidRPr="00DD363D" w:rsidTr="00DD1581">
        <w:tc>
          <w:tcPr>
            <w:tcW w:w="709" w:type="dxa"/>
            <w:tcBorders>
              <w:top w:val="single" w:sz="4" w:space="0" w:color="auto"/>
              <w:left w:val="single" w:sz="4" w:space="0" w:color="auto"/>
              <w:bottom w:val="single" w:sz="4" w:space="0" w:color="auto"/>
              <w:right w:val="single" w:sz="4" w:space="0" w:color="auto"/>
            </w:tcBorders>
          </w:tcPr>
          <w:p w:rsidR="00FB29A6" w:rsidRPr="00DD363D" w:rsidRDefault="00FB29A6" w:rsidP="002F3B8A">
            <w:pPr>
              <w:pStyle w:val="naisc"/>
              <w:spacing w:before="0" w:after="0"/>
              <w:jc w:val="left"/>
            </w:pPr>
            <w:r w:rsidRPr="00DD363D">
              <w:lastRenderedPageBreak/>
              <w:t>2</w:t>
            </w:r>
            <w:r>
              <w:t>2</w:t>
            </w:r>
            <w:r w:rsidRPr="00DD363D">
              <w:t>.</w:t>
            </w:r>
          </w:p>
        </w:tc>
        <w:tc>
          <w:tcPr>
            <w:tcW w:w="2268"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jc w:val="both"/>
            </w:pPr>
            <w:r w:rsidRPr="00DD363D">
              <w:t>Likumprojekt</w:t>
            </w:r>
            <w:r>
              <w:t>a</w:t>
            </w:r>
            <w:r w:rsidRPr="00DD363D">
              <w:t xml:space="preserve"> anotācija</w:t>
            </w:r>
          </w:p>
        </w:tc>
        <w:tc>
          <w:tcPr>
            <w:tcW w:w="3969"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4421BA">
            <w:pPr>
              <w:pStyle w:val="naisc"/>
              <w:jc w:val="both"/>
              <w:rPr>
                <w:b/>
              </w:rPr>
            </w:pPr>
            <w:r w:rsidRPr="00DD363D">
              <w:rPr>
                <w:b/>
              </w:rPr>
              <w:t>Tieslietu ministrijas 11.03.2021. priekšlikums</w:t>
            </w:r>
          </w:p>
          <w:p w:rsidR="00FB29A6" w:rsidRPr="00DD363D" w:rsidRDefault="00FB29A6" w:rsidP="004421BA">
            <w:pPr>
              <w:pStyle w:val="naisc"/>
              <w:jc w:val="both"/>
            </w:pPr>
            <w:r w:rsidRPr="00DD363D">
              <w:t>Lūdzam precizēt anotācijas VI sadaļā sniegto informāciju, ņemot vērā, ka projekts neparedz papildināt Streiku likuma 17. panta otrajā daļā noteikto sabiedrībai nepieciešamo dienestu sarakstu, kuros streika gadījumā minimālā apjomā tiktu turpināts darbs, bet gan paredz aizliegumu streikot noteiktās Valsts ieņēmumu dienesta struktūrvienībās.</w:t>
            </w:r>
          </w:p>
        </w:tc>
        <w:tc>
          <w:tcPr>
            <w:tcW w:w="3544" w:type="dxa"/>
            <w:gridSpan w:val="2"/>
            <w:tcBorders>
              <w:top w:val="single" w:sz="4" w:space="0" w:color="auto"/>
              <w:left w:val="single" w:sz="4" w:space="0" w:color="auto"/>
              <w:bottom w:val="single" w:sz="4" w:space="0" w:color="auto"/>
              <w:right w:val="single" w:sz="4" w:space="0" w:color="auto"/>
            </w:tcBorders>
          </w:tcPr>
          <w:p w:rsidR="00FB29A6" w:rsidRPr="00DD363D" w:rsidRDefault="00FB29A6" w:rsidP="00317249">
            <w:pPr>
              <w:spacing w:before="40" w:after="40"/>
              <w:jc w:val="center"/>
              <w:rPr>
                <w:b/>
              </w:rPr>
            </w:pPr>
            <w:r w:rsidRPr="00DD363D">
              <w:rPr>
                <w:b/>
              </w:rPr>
              <w:t>Priekšlikums ņemts vērā</w:t>
            </w:r>
          </w:p>
        </w:tc>
        <w:tc>
          <w:tcPr>
            <w:tcW w:w="4820" w:type="dxa"/>
            <w:tcBorders>
              <w:top w:val="single" w:sz="4" w:space="0" w:color="auto"/>
              <w:left w:val="single" w:sz="4" w:space="0" w:color="auto"/>
              <w:bottom w:val="single" w:sz="4" w:space="0" w:color="auto"/>
              <w:right w:val="single" w:sz="4" w:space="0" w:color="auto"/>
            </w:tcBorders>
          </w:tcPr>
          <w:p w:rsidR="00FB29A6" w:rsidRPr="00DD363D" w:rsidRDefault="00FB29A6" w:rsidP="006A6AC2">
            <w:pPr>
              <w:jc w:val="both"/>
            </w:pPr>
            <w:r w:rsidRPr="00DD363D">
              <w:t>Precizēt</w:t>
            </w:r>
            <w:r>
              <w:t>a</w:t>
            </w:r>
            <w:r w:rsidRPr="00DD363D">
              <w:t xml:space="preserve"> anotācijas VI</w:t>
            </w:r>
            <w:r>
              <w:t> </w:t>
            </w:r>
            <w:r w:rsidRPr="00DD363D">
              <w:t>sadaļ</w:t>
            </w:r>
            <w:r>
              <w:t>a.</w:t>
            </w:r>
          </w:p>
        </w:tc>
      </w:tr>
      <w:tr w:rsidR="00DD1581" w:rsidRPr="00E72960" w:rsidTr="00DD1581">
        <w:tblPrEx>
          <w:tblBorders>
            <w:top w:val="none" w:sz="0" w:space="0" w:color="auto"/>
            <w:left w:val="none" w:sz="0" w:space="0" w:color="auto"/>
            <w:bottom w:val="none" w:sz="0" w:space="0" w:color="auto"/>
            <w:right w:val="none" w:sz="0" w:space="0" w:color="auto"/>
          </w:tblBorders>
          <w:shd w:val="clear" w:color="auto" w:fill="FFFFFF"/>
          <w:tblCellMar>
            <w:top w:w="20" w:type="dxa"/>
            <w:left w:w="20" w:type="dxa"/>
            <w:bottom w:w="20" w:type="dxa"/>
            <w:right w:w="20" w:type="dxa"/>
          </w:tblCellMar>
          <w:tblLook w:val="04A0" w:firstRow="1" w:lastRow="0" w:firstColumn="1" w:lastColumn="0" w:noHBand="0" w:noVBand="1"/>
        </w:tblPrEx>
        <w:trPr>
          <w:gridBefore w:val="2"/>
          <w:gridAfter w:val="2"/>
          <w:wBefore w:w="1276" w:type="dxa"/>
          <w:wAfter w:w="5394" w:type="dxa"/>
          <w:trHeight w:val="300"/>
        </w:trPr>
        <w:tc>
          <w:tcPr>
            <w:tcW w:w="2851" w:type="dxa"/>
            <w:gridSpan w:val="2"/>
            <w:tcBorders>
              <w:top w:val="nil"/>
              <w:left w:val="nil"/>
              <w:bottom w:val="nil"/>
              <w:right w:val="nil"/>
            </w:tcBorders>
            <w:shd w:val="clear" w:color="auto" w:fill="FFFFFF"/>
            <w:noWrap/>
            <w:vAlign w:val="bottom"/>
            <w:hideMark/>
          </w:tcPr>
          <w:p w:rsidR="00DD1581" w:rsidRPr="00E72960" w:rsidRDefault="00DD1581">
            <w:pPr>
              <w:spacing w:before="195"/>
            </w:pPr>
            <w:r w:rsidRPr="00E72960">
              <w:t>Atbildīgā amatpersona</w:t>
            </w:r>
          </w:p>
        </w:tc>
        <w:tc>
          <w:tcPr>
            <w:tcW w:w="5789" w:type="dxa"/>
            <w:gridSpan w:val="2"/>
            <w:tcBorders>
              <w:top w:val="nil"/>
              <w:left w:val="nil"/>
              <w:bottom w:val="single" w:sz="6" w:space="0" w:color="414142"/>
              <w:right w:val="nil"/>
            </w:tcBorders>
            <w:shd w:val="clear" w:color="auto" w:fill="FFFFFF"/>
            <w:hideMark/>
          </w:tcPr>
          <w:p w:rsidR="00DD1581" w:rsidRPr="00E72960" w:rsidRDefault="00DD1581">
            <w:pPr>
              <w:spacing w:before="195"/>
            </w:pPr>
            <w:r w:rsidRPr="00E72960">
              <w:t>  </w:t>
            </w:r>
          </w:p>
        </w:tc>
      </w:tr>
      <w:tr w:rsidR="00DD1581" w:rsidRPr="00E72960" w:rsidTr="00DD1581">
        <w:tblPrEx>
          <w:tblBorders>
            <w:top w:val="none" w:sz="0" w:space="0" w:color="auto"/>
            <w:left w:val="none" w:sz="0" w:space="0" w:color="auto"/>
            <w:bottom w:val="none" w:sz="0" w:space="0" w:color="auto"/>
            <w:right w:val="none" w:sz="0" w:space="0" w:color="auto"/>
          </w:tblBorders>
          <w:shd w:val="clear" w:color="auto" w:fill="FFFFFF"/>
          <w:tblCellMar>
            <w:top w:w="20" w:type="dxa"/>
            <w:left w:w="20" w:type="dxa"/>
            <w:bottom w:w="20" w:type="dxa"/>
            <w:right w:w="20" w:type="dxa"/>
          </w:tblCellMar>
          <w:tblLook w:val="04A0" w:firstRow="1" w:lastRow="0" w:firstColumn="1" w:lastColumn="0" w:noHBand="0" w:noVBand="1"/>
        </w:tblPrEx>
        <w:trPr>
          <w:gridBefore w:val="2"/>
          <w:gridAfter w:val="2"/>
          <w:wBefore w:w="1276" w:type="dxa"/>
          <w:wAfter w:w="5394" w:type="dxa"/>
        </w:trPr>
        <w:tc>
          <w:tcPr>
            <w:tcW w:w="2851" w:type="dxa"/>
            <w:gridSpan w:val="2"/>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c>
          <w:tcPr>
            <w:tcW w:w="5789" w:type="dxa"/>
            <w:gridSpan w:val="2"/>
            <w:tcBorders>
              <w:top w:val="single" w:sz="6" w:space="0" w:color="414142"/>
              <w:left w:val="nil"/>
              <w:bottom w:val="nil"/>
              <w:right w:val="nil"/>
            </w:tcBorders>
            <w:shd w:val="clear" w:color="auto" w:fill="FFFFFF"/>
            <w:hideMark/>
          </w:tcPr>
          <w:p w:rsidR="00DD1581" w:rsidRPr="00E72960" w:rsidRDefault="00DD1581" w:rsidP="00383C2A">
            <w:pPr>
              <w:spacing w:line="360" w:lineRule="auto"/>
              <w:jc w:val="center"/>
            </w:pPr>
            <w:r w:rsidRPr="00E72960">
              <w:t>(paraksts)*</w:t>
            </w:r>
          </w:p>
        </w:tc>
      </w:tr>
    </w:tbl>
    <w:p w:rsidR="00DD1581" w:rsidRPr="00E72960" w:rsidRDefault="00DD1581" w:rsidP="00383C2A">
      <w:pPr>
        <w:pStyle w:val="NormalWeb"/>
        <w:shd w:val="clear" w:color="auto" w:fill="FFFFFF"/>
        <w:spacing w:before="0" w:beforeAutospacing="0" w:after="0" w:afterAutospacing="0" w:line="360" w:lineRule="auto"/>
        <w:ind w:firstLine="301"/>
      </w:pPr>
      <w:r w:rsidRPr="00E72960">
        <w:t>Piezīme. * Dokumenta rekvizītu "paraksts" neaizpilda, ja elektroniskais dokuments ir sagatavots atbilstoši normatīvajiem aktiem par elektronisko dokumentu noformēšanu.</w:t>
      </w:r>
    </w:p>
    <w:tbl>
      <w:tblPr>
        <w:tblW w:w="4999" w:type="pct"/>
        <w:shd w:val="clear" w:color="auto" w:fill="FFFFFF"/>
        <w:tblCellMar>
          <w:top w:w="20" w:type="dxa"/>
          <w:left w:w="20" w:type="dxa"/>
          <w:bottom w:w="20" w:type="dxa"/>
          <w:right w:w="20" w:type="dxa"/>
        </w:tblCellMar>
        <w:tblLook w:val="04A0" w:firstRow="1" w:lastRow="0" w:firstColumn="1" w:lastColumn="0" w:noHBand="0" w:noVBand="1"/>
      </w:tblPr>
      <w:tblGrid>
        <w:gridCol w:w="13003"/>
        <w:gridCol w:w="1037"/>
      </w:tblGrid>
      <w:tr w:rsidR="00DD1581" w:rsidRPr="00E72960" w:rsidTr="00DD1581">
        <w:trPr>
          <w:trHeight w:val="96"/>
        </w:trPr>
        <w:tc>
          <w:tcPr>
            <w:tcW w:w="13003" w:type="dxa"/>
            <w:tcBorders>
              <w:top w:val="nil"/>
              <w:left w:val="nil"/>
              <w:bottom w:val="single" w:sz="6" w:space="0" w:color="414142"/>
              <w:right w:val="nil"/>
            </w:tcBorders>
            <w:shd w:val="clear" w:color="auto" w:fill="FFFFFF"/>
            <w:hideMark/>
          </w:tcPr>
          <w:p w:rsidR="00DD1581" w:rsidRPr="00E72960" w:rsidRDefault="00DC0B91" w:rsidP="00383C2A">
            <w:pPr>
              <w:spacing w:line="360" w:lineRule="auto"/>
              <w:jc w:val="center"/>
            </w:pPr>
            <w:r w:rsidRPr="00E72960">
              <w:t>Nataļja Sigņejeva</w:t>
            </w:r>
          </w:p>
        </w:tc>
        <w:tc>
          <w:tcPr>
            <w:tcW w:w="0" w:type="auto"/>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r>
      <w:tr w:rsidR="00DD1581" w:rsidRPr="00E72960" w:rsidTr="00DD1581">
        <w:trPr>
          <w:trHeight w:val="96"/>
        </w:trPr>
        <w:tc>
          <w:tcPr>
            <w:tcW w:w="13003" w:type="dxa"/>
            <w:tcBorders>
              <w:top w:val="single" w:sz="6" w:space="0" w:color="414142"/>
              <w:left w:val="nil"/>
              <w:bottom w:val="nil"/>
              <w:right w:val="nil"/>
            </w:tcBorders>
            <w:shd w:val="clear" w:color="auto" w:fill="FFFFFF"/>
            <w:hideMark/>
          </w:tcPr>
          <w:p w:rsidR="00DD1581" w:rsidRPr="00E72960" w:rsidRDefault="00DD1581" w:rsidP="00383C2A">
            <w:pPr>
              <w:spacing w:line="360" w:lineRule="auto"/>
              <w:jc w:val="center"/>
            </w:pPr>
            <w:r w:rsidRPr="00E72960">
              <w:t>(par projektu atbildīgās amatpersonas vārds un uzvārds)</w:t>
            </w:r>
          </w:p>
        </w:tc>
        <w:tc>
          <w:tcPr>
            <w:tcW w:w="0" w:type="auto"/>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r>
      <w:tr w:rsidR="00DD1581" w:rsidRPr="00E72960" w:rsidTr="00DD1581">
        <w:trPr>
          <w:trHeight w:val="96"/>
        </w:trPr>
        <w:tc>
          <w:tcPr>
            <w:tcW w:w="13003" w:type="dxa"/>
            <w:tcBorders>
              <w:top w:val="nil"/>
              <w:left w:val="nil"/>
              <w:bottom w:val="single" w:sz="6" w:space="0" w:color="414142"/>
              <w:right w:val="nil"/>
            </w:tcBorders>
            <w:shd w:val="clear" w:color="auto" w:fill="FFFFFF"/>
            <w:hideMark/>
          </w:tcPr>
          <w:p w:rsidR="00DD1581" w:rsidRPr="00E72960" w:rsidRDefault="008D5573" w:rsidP="00383C2A">
            <w:pPr>
              <w:spacing w:line="360" w:lineRule="auto"/>
              <w:jc w:val="center"/>
            </w:pPr>
            <w:proofErr w:type="spellStart"/>
            <w:r w:rsidRPr="00E72960">
              <w:t>Personālvadības</w:t>
            </w:r>
            <w:proofErr w:type="spellEnd"/>
            <w:r w:rsidRPr="00E72960">
              <w:t xml:space="preserve"> pārvaldes Juridiskās daļas </w:t>
            </w:r>
            <w:r w:rsidR="00DC0B91" w:rsidRPr="00E72960">
              <w:t>galvenā juriste</w:t>
            </w:r>
            <w:r w:rsidR="00DD1581" w:rsidRPr="00E72960">
              <w:t> </w:t>
            </w:r>
          </w:p>
        </w:tc>
        <w:tc>
          <w:tcPr>
            <w:tcW w:w="0" w:type="auto"/>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r>
      <w:tr w:rsidR="00DD1581" w:rsidRPr="00E72960" w:rsidTr="00DD1581">
        <w:trPr>
          <w:trHeight w:val="96"/>
        </w:trPr>
        <w:tc>
          <w:tcPr>
            <w:tcW w:w="13003" w:type="dxa"/>
            <w:tcBorders>
              <w:top w:val="single" w:sz="6" w:space="0" w:color="414142"/>
              <w:left w:val="nil"/>
              <w:bottom w:val="nil"/>
              <w:right w:val="nil"/>
            </w:tcBorders>
            <w:shd w:val="clear" w:color="auto" w:fill="FFFFFF"/>
            <w:hideMark/>
          </w:tcPr>
          <w:p w:rsidR="00DD1581" w:rsidRPr="00E72960" w:rsidRDefault="00DD1581" w:rsidP="00383C2A">
            <w:pPr>
              <w:spacing w:line="360" w:lineRule="auto"/>
              <w:jc w:val="center"/>
            </w:pPr>
            <w:r w:rsidRPr="00E72960">
              <w:t>(amats)</w:t>
            </w:r>
          </w:p>
        </w:tc>
        <w:tc>
          <w:tcPr>
            <w:tcW w:w="0" w:type="auto"/>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r>
      <w:tr w:rsidR="00DD1581" w:rsidRPr="00E72960" w:rsidTr="00DD1581">
        <w:trPr>
          <w:trHeight w:val="96"/>
        </w:trPr>
        <w:tc>
          <w:tcPr>
            <w:tcW w:w="13003" w:type="dxa"/>
            <w:tcBorders>
              <w:top w:val="nil"/>
              <w:left w:val="nil"/>
              <w:bottom w:val="single" w:sz="6" w:space="0" w:color="414142"/>
              <w:right w:val="nil"/>
            </w:tcBorders>
            <w:shd w:val="clear" w:color="auto" w:fill="FFFFFF"/>
            <w:hideMark/>
          </w:tcPr>
          <w:p w:rsidR="00DD1581" w:rsidRPr="00E72960" w:rsidRDefault="002A28F0" w:rsidP="00383C2A">
            <w:pPr>
              <w:spacing w:line="360" w:lineRule="auto"/>
              <w:jc w:val="center"/>
            </w:pPr>
            <w:r w:rsidRPr="00E72960">
              <w:t>6712</w:t>
            </w:r>
            <w:r w:rsidR="00DC0B91" w:rsidRPr="00E72960">
              <w:t>2654</w:t>
            </w:r>
            <w:r w:rsidR="00DD1581" w:rsidRPr="00E72960">
              <w:t> </w:t>
            </w:r>
          </w:p>
        </w:tc>
        <w:tc>
          <w:tcPr>
            <w:tcW w:w="0" w:type="auto"/>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r>
      <w:tr w:rsidR="00DD1581" w:rsidRPr="00E72960" w:rsidTr="00DD1581">
        <w:trPr>
          <w:trHeight w:val="96"/>
        </w:trPr>
        <w:tc>
          <w:tcPr>
            <w:tcW w:w="13003" w:type="dxa"/>
            <w:tcBorders>
              <w:top w:val="single" w:sz="6" w:space="0" w:color="414142"/>
              <w:left w:val="nil"/>
              <w:bottom w:val="nil"/>
              <w:right w:val="nil"/>
            </w:tcBorders>
            <w:shd w:val="clear" w:color="auto" w:fill="FFFFFF"/>
            <w:hideMark/>
          </w:tcPr>
          <w:p w:rsidR="00DD1581" w:rsidRPr="00E72960" w:rsidRDefault="00DD1581" w:rsidP="00383C2A">
            <w:pPr>
              <w:spacing w:line="360" w:lineRule="auto"/>
              <w:jc w:val="center"/>
            </w:pPr>
            <w:r w:rsidRPr="00E72960">
              <w:t>(tālruņa un faksa numurs)</w:t>
            </w:r>
          </w:p>
        </w:tc>
        <w:tc>
          <w:tcPr>
            <w:tcW w:w="0" w:type="auto"/>
            <w:tcBorders>
              <w:top w:val="nil"/>
              <w:left w:val="nil"/>
              <w:bottom w:val="nil"/>
              <w:right w:val="nil"/>
            </w:tcBorders>
            <w:shd w:val="clear" w:color="auto" w:fill="FFFFFF"/>
            <w:hideMark/>
          </w:tcPr>
          <w:p w:rsidR="00DD1581" w:rsidRPr="00E72960" w:rsidRDefault="00DD1581" w:rsidP="00383C2A">
            <w:pPr>
              <w:spacing w:line="360" w:lineRule="auto"/>
            </w:pPr>
            <w:r w:rsidRPr="00E72960">
              <w:t> </w:t>
            </w:r>
          </w:p>
        </w:tc>
      </w:tr>
      <w:tr w:rsidR="00DD1581" w:rsidRPr="00DD1581" w:rsidTr="00DD1581">
        <w:trPr>
          <w:trHeight w:val="96"/>
        </w:trPr>
        <w:tc>
          <w:tcPr>
            <w:tcW w:w="13003" w:type="dxa"/>
            <w:tcBorders>
              <w:top w:val="nil"/>
              <w:left w:val="nil"/>
              <w:bottom w:val="single" w:sz="6" w:space="0" w:color="414142"/>
              <w:right w:val="nil"/>
            </w:tcBorders>
            <w:shd w:val="clear" w:color="auto" w:fill="FFFFFF"/>
            <w:hideMark/>
          </w:tcPr>
          <w:p w:rsidR="00DD1581" w:rsidRPr="00DD1581" w:rsidRDefault="00DC0B91" w:rsidP="00383C2A">
            <w:pPr>
              <w:spacing w:line="360" w:lineRule="auto"/>
              <w:jc w:val="center"/>
              <w:rPr>
                <w:color w:val="414142"/>
              </w:rPr>
            </w:pPr>
            <w:r w:rsidRPr="000D2FDA">
              <w:rPr>
                <w:color w:val="414142"/>
              </w:rPr>
              <w:t>Natalja.Signejeva@vid.gov.lv</w:t>
            </w:r>
            <w:r w:rsidR="002A28F0">
              <w:rPr>
                <w:color w:val="414142"/>
              </w:rPr>
              <w:t xml:space="preserve"> </w:t>
            </w:r>
          </w:p>
        </w:tc>
        <w:tc>
          <w:tcPr>
            <w:tcW w:w="0" w:type="auto"/>
            <w:tcBorders>
              <w:top w:val="nil"/>
              <w:left w:val="nil"/>
              <w:bottom w:val="nil"/>
              <w:right w:val="nil"/>
            </w:tcBorders>
            <w:shd w:val="clear" w:color="auto" w:fill="FFFFFF"/>
            <w:hideMark/>
          </w:tcPr>
          <w:p w:rsidR="00DD1581" w:rsidRPr="00DD1581" w:rsidRDefault="00DD1581" w:rsidP="00383C2A">
            <w:pPr>
              <w:spacing w:line="360" w:lineRule="auto"/>
              <w:rPr>
                <w:color w:val="414142"/>
              </w:rPr>
            </w:pPr>
            <w:r w:rsidRPr="00DD1581">
              <w:rPr>
                <w:color w:val="414142"/>
              </w:rPr>
              <w:t> </w:t>
            </w:r>
          </w:p>
        </w:tc>
      </w:tr>
      <w:tr w:rsidR="00DD1581" w:rsidRPr="009606EC" w:rsidTr="00DD1581">
        <w:trPr>
          <w:trHeight w:val="96"/>
        </w:trPr>
        <w:tc>
          <w:tcPr>
            <w:tcW w:w="13003" w:type="dxa"/>
            <w:tcBorders>
              <w:top w:val="single" w:sz="6" w:space="0" w:color="414142"/>
              <w:left w:val="nil"/>
              <w:bottom w:val="nil"/>
              <w:right w:val="nil"/>
            </w:tcBorders>
            <w:shd w:val="clear" w:color="auto" w:fill="FFFFFF"/>
            <w:hideMark/>
          </w:tcPr>
          <w:p w:rsidR="00DD1581" w:rsidRPr="009606EC" w:rsidRDefault="00DD1581" w:rsidP="00383C2A">
            <w:pPr>
              <w:spacing w:line="360" w:lineRule="auto"/>
              <w:jc w:val="center"/>
            </w:pPr>
            <w:r w:rsidRPr="009606EC">
              <w:t>(e-pasta adrese)</w:t>
            </w:r>
          </w:p>
        </w:tc>
        <w:tc>
          <w:tcPr>
            <w:tcW w:w="0" w:type="auto"/>
            <w:shd w:val="clear" w:color="auto" w:fill="FFFFFF"/>
            <w:vAlign w:val="center"/>
            <w:hideMark/>
          </w:tcPr>
          <w:p w:rsidR="00DD1581" w:rsidRPr="009606EC" w:rsidRDefault="00DD1581" w:rsidP="00383C2A">
            <w:pPr>
              <w:spacing w:line="360" w:lineRule="auto"/>
            </w:pPr>
          </w:p>
        </w:tc>
      </w:tr>
    </w:tbl>
    <w:p w:rsidR="000E5CD2" w:rsidRPr="00DD363D" w:rsidRDefault="000E5CD2" w:rsidP="00383C2A">
      <w:pPr>
        <w:pStyle w:val="naisf"/>
        <w:spacing w:before="0" w:after="0" w:line="360" w:lineRule="auto"/>
        <w:ind w:firstLine="0"/>
        <w:rPr>
          <w:sz w:val="20"/>
          <w:szCs w:val="20"/>
        </w:rPr>
      </w:pPr>
    </w:p>
    <w:sectPr w:rsidR="000E5CD2" w:rsidRPr="00DD363D" w:rsidSect="00364BB6">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161" w:rsidRDefault="00520161">
      <w:r>
        <w:separator/>
      </w:r>
    </w:p>
  </w:endnote>
  <w:endnote w:type="continuationSeparator" w:id="0">
    <w:p w:rsidR="00520161" w:rsidRDefault="0052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635" w:rsidRDefault="00503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96B" w:rsidRDefault="00EE496B" w:rsidP="001B774D">
    <w:pPr>
      <w:pStyle w:val="Footer"/>
      <w:jc w:val="both"/>
      <w:rPr>
        <w:sz w:val="20"/>
        <w:szCs w:val="20"/>
      </w:rPr>
    </w:pPr>
  </w:p>
  <w:p w:rsidR="006455E7" w:rsidRPr="00A25AB0" w:rsidRDefault="001B774D" w:rsidP="001B774D">
    <w:pPr>
      <w:pStyle w:val="Footer"/>
      <w:jc w:val="both"/>
      <w:rPr>
        <w:sz w:val="20"/>
        <w:szCs w:val="20"/>
      </w:rPr>
    </w:pPr>
    <w:r w:rsidRPr="00A25AB0">
      <w:rPr>
        <w:sz w:val="20"/>
        <w:szCs w:val="20"/>
      </w:rPr>
      <w:t>FMIzz_</w:t>
    </w:r>
    <w:r w:rsidR="00503635">
      <w:rPr>
        <w:sz w:val="20"/>
        <w:szCs w:val="20"/>
      </w:rPr>
      <w:t>210222</w:t>
    </w:r>
    <w:r w:rsidR="00AD3C15">
      <w:rPr>
        <w:sz w:val="20"/>
        <w:szCs w:val="20"/>
      </w:rPr>
      <w:t>_</w:t>
    </w:r>
    <w:r w:rsidR="006A34B3">
      <w:rPr>
        <w:sz w:val="20"/>
        <w:szCs w:val="20"/>
      </w:rPr>
      <w:t>s</w:t>
    </w:r>
    <w:r w:rsidR="00AD3C15">
      <w:rPr>
        <w:sz w:val="20"/>
        <w:szCs w:val="20"/>
      </w:rPr>
      <w:t>treik</w:t>
    </w:r>
    <w:r w:rsidR="006A34B3">
      <w:rPr>
        <w:sz w:val="20"/>
        <w:szCs w:val="20"/>
      </w:rPr>
      <w:t>u_lik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AB0" w:rsidRPr="00A25AB0" w:rsidRDefault="00A25AB0" w:rsidP="00A25AB0">
    <w:pPr>
      <w:pStyle w:val="Footer"/>
      <w:jc w:val="both"/>
      <w:rPr>
        <w:sz w:val="20"/>
        <w:szCs w:val="20"/>
      </w:rPr>
    </w:pPr>
    <w:r w:rsidRPr="00A25AB0">
      <w:rPr>
        <w:sz w:val="20"/>
        <w:szCs w:val="20"/>
      </w:rPr>
      <w:t>FMIzz_</w:t>
    </w:r>
    <w:r w:rsidR="00503635">
      <w:rPr>
        <w:sz w:val="20"/>
        <w:szCs w:val="20"/>
      </w:rPr>
      <w:t>210222</w:t>
    </w:r>
    <w:r w:rsidR="00F7524D">
      <w:rPr>
        <w:sz w:val="20"/>
        <w:szCs w:val="20"/>
      </w:rPr>
      <w:t>_</w:t>
    </w:r>
    <w:r w:rsidR="006A34B3">
      <w:rPr>
        <w:sz w:val="20"/>
        <w:szCs w:val="20"/>
      </w:rPr>
      <w:t>s</w:t>
    </w:r>
    <w:r w:rsidR="00D45EE8">
      <w:rPr>
        <w:sz w:val="20"/>
        <w:szCs w:val="20"/>
      </w:rPr>
      <w:t>treik</w:t>
    </w:r>
    <w:r w:rsidR="006A34B3">
      <w:rPr>
        <w:sz w:val="20"/>
        <w:szCs w:val="20"/>
      </w:rPr>
      <w:t>u_lik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161" w:rsidRDefault="00520161">
      <w:r>
        <w:separator/>
      </w:r>
    </w:p>
  </w:footnote>
  <w:footnote w:type="continuationSeparator" w:id="0">
    <w:p w:rsidR="00520161" w:rsidRDefault="00520161">
      <w:r>
        <w:continuationSeparator/>
      </w:r>
    </w:p>
  </w:footnote>
  <w:footnote w:id="1">
    <w:p w:rsidR="00FB29A6" w:rsidRDefault="00FB29A6">
      <w:pPr>
        <w:pStyle w:val="FootnoteText"/>
      </w:pPr>
      <w:r>
        <w:rPr>
          <w:rStyle w:val="FootnoteReference"/>
        </w:rPr>
        <w:footnoteRef/>
      </w:r>
      <w:r>
        <w:t xml:space="preserve"> Latvijas Republikas Satversmes 108. pants</w:t>
      </w:r>
      <w:r w:rsidR="0013245D">
        <w:t>.</w:t>
      </w:r>
    </w:p>
  </w:footnote>
  <w:footnote w:id="2">
    <w:p w:rsidR="00FB29A6" w:rsidRDefault="00FB29A6">
      <w:pPr>
        <w:pStyle w:val="FootnoteText"/>
      </w:pPr>
      <w:r>
        <w:rPr>
          <w:rStyle w:val="FootnoteReference"/>
        </w:rPr>
        <w:footnoteRef/>
      </w:r>
      <w:r>
        <w:t xml:space="preserve"> </w:t>
      </w:r>
      <w:r>
        <w:t>Streiku likums</w:t>
      </w:r>
      <w:r w:rsidR="0013245D">
        <w:t>.</w:t>
      </w:r>
    </w:p>
  </w:footnote>
  <w:footnote w:id="3">
    <w:p w:rsidR="00FB29A6" w:rsidRDefault="00FB29A6">
      <w:pPr>
        <w:pStyle w:val="FootnoteText"/>
      </w:pPr>
      <w:r>
        <w:rPr>
          <w:rStyle w:val="FootnoteReference"/>
        </w:rPr>
        <w:footnoteRef/>
      </w:r>
      <w:r>
        <w:t xml:space="preserve"> </w:t>
      </w:r>
      <w:r>
        <w:t>Streiku likuma 17. panta otrā daļa</w:t>
      </w:r>
    </w:p>
  </w:footnote>
  <w:footnote w:id="4">
    <w:p w:rsidR="00FB29A6" w:rsidRDefault="00FB29A6" w:rsidP="0094722A">
      <w:pPr>
        <w:pStyle w:val="FootnoteText"/>
      </w:pPr>
      <w:r>
        <w:rPr>
          <w:rStyle w:val="FootnoteReference"/>
        </w:rPr>
        <w:footnoteRef/>
      </w:r>
      <w:r>
        <w:t xml:space="preserve"> </w:t>
      </w:r>
      <w:r>
        <w:t xml:space="preserve">Skat. pārskata 105. lapā: </w:t>
      </w:r>
      <w:hyperlink r:id="rId1" w:history="1">
        <w:r w:rsidRPr="004A5BF6">
          <w:rPr>
            <w:rStyle w:val="Hyperlink"/>
          </w:rPr>
          <w:t>https://rm.coe.int/digest-2018-parts-i-ii-iii-iv-en/1680939f80</w:t>
        </w:r>
      </w:hyperlink>
    </w:p>
  </w:footnote>
  <w:footnote w:id="5">
    <w:p w:rsidR="00FB29A6" w:rsidRDefault="00FB29A6" w:rsidP="0094722A">
      <w:pPr>
        <w:pStyle w:val="FootnoteText"/>
      </w:pPr>
      <w:r>
        <w:rPr>
          <w:rStyle w:val="FootnoteReference"/>
        </w:rPr>
        <w:footnoteRef/>
      </w:r>
      <w:r>
        <w:t xml:space="preserve"> </w:t>
      </w:r>
      <w:hyperlink r:id="rId2" w:history="1">
        <w:r w:rsidRPr="004A5BF6">
          <w:rPr>
            <w:rStyle w:val="Hyperlink"/>
          </w:rPr>
          <w:t>https://www.ilo.org/dyn/normlex/en/f?p=NORMLEXPUB:70002:0::NO::P70002_HIER_ELEMENT_ID,P70002_HIER_LEVEL:3945742,3</w:t>
        </w:r>
      </w:hyperlink>
      <w:r>
        <w:t xml:space="preserve"> </w:t>
      </w:r>
    </w:p>
  </w:footnote>
  <w:footnote w:id="6">
    <w:p w:rsidR="00FB29A6" w:rsidRDefault="00FB29A6" w:rsidP="0094722A">
      <w:pPr>
        <w:pStyle w:val="FootnoteText"/>
      </w:pPr>
      <w:r>
        <w:rPr>
          <w:rStyle w:val="FootnoteReference"/>
        </w:rPr>
        <w:footnoteRef/>
      </w:r>
      <w:r>
        <w:t xml:space="preserve"> </w:t>
      </w:r>
      <w:r w:rsidRPr="000E24BA">
        <w:t>Latvijas Republikas Satversmes komentāri, VIII</w:t>
      </w:r>
      <w:r w:rsidRPr="000E24BA">
        <w:rPr>
          <w:color w:val="1F497D"/>
        </w:rPr>
        <w:t> </w:t>
      </w:r>
      <w:r w:rsidRPr="000E24BA">
        <w:t xml:space="preserve">nodaļa Cilvēka </w:t>
      </w:r>
      <w:proofErr w:type="spellStart"/>
      <w:r w:rsidRPr="000E24BA">
        <w:t>pamattiesības</w:t>
      </w:r>
      <w:proofErr w:type="spellEnd"/>
      <w:r w:rsidRPr="000E24BA">
        <w:t>, autoru kolektīvs prof. R.</w:t>
      </w:r>
      <w:r w:rsidRPr="000E24BA">
        <w:rPr>
          <w:color w:val="1F497D"/>
        </w:rPr>
        <w:t> </w:t>
      </w:r>
      <w:r w:rsidRPr="000E24BA">
        <w:t>Baloža zinātniskā vadībā. Rīga: Latvijas Vēstnesis, 54</w:t>
      </w:r>
      <w:r>
        <w:t>6</w:t>
      </w:r>
      <w:r w:rsidRPr="000E24BA">
        <w:t>.</w:t>
      </w:r>
      <w:r w:rsidRPr="000E24BA">
        <w:rPr>
          <w:color w:val="1F497D"/>
        </w:rPr>
        <w:t> </w:t>
      </w:r>
      <w:r w:rsidRPr="000E24BA">
        <w:t>lpp</w:t>
      </w:r>
      <w:r>
        <w:t>.</w:t>
      </w:r>
    </w:p>
  </w:footnote>
  <w:footnote w:id="7">
    <w:p w:rsidR="00FB29A6" w:rsidRPr="00376F22" w:rsidRDefault="00FB29A6" w:rsidP="0094722A">
      <w:pPr>
        <w:pStyle w:val="FootnoteText"/>
      </w:pPr>
      <w:r w:rsidRPr="00376F22">
        <w:rPr>
          <w:rStyle w:val="FootnoteReference"/>
        </w:rPr>
        <w:footnoteRef/>
      </w:r>
      <w:r w:rsidRPr="00376F22">
        <w:t xml:space="preserve"> </w:t>
      </w:r>
      <w:r w:rsidRPr="00376F22">
        <w:t>Satversmes tiesas 2016. gada 12. maija sprieduma lietā Nr. </w:t>
      </w:r>
      <w:r w:rsidRPr="00383C2A">
        <w:t>2015-14-0103 21. punkts.</w:t>
      </w:r>
    </w:p>
  </w:footnote>
  <w:footnote w:id="8">
    <w:p w:rsidR="00FB29A6" w:rsidRPr="008D1337" w:rsidRDefault="00FB29A6" w:rsidP="0094722A">
      <w:pPr>
        <w:pStyle w:val="FootnoteText"/>
      </w:pPr>
      <w:r w:rsidRPr="008D1337">
        <w:rPr>
          <w:rStyle w:val="FootnoteReference"/>
        </w:rPr>
        <w:footnoteRef/>
      </w:r>
      <w:r w:rsidRPr="008D1337">
        <w:t xml:space="preserve"> </w:t>
      </w:r>
      <w:proofErr w:type="spellStart"/>
      <w:r w:rsidRPr="008D1337">
        <w:t>McBride</w:t>
      </w:r>
      <w:proofErr w:type="spellEnd"/>
      <w:r w:rsidRPr="008D1337">
        <w:t xml:space="preserve"> J. </w:t>
      </w:r>
      <w:proofErr w:type="spellStart"/>
      <w:r w:rsidRPr="008D1337">
        <w:rPr>
          <w:i/>
        </w:rPr>
        <w:t>Proportionality</w:t>
      </w:r>
      <w:proofErr w:type="spellEnd"/>
      <w:r w:rsidRPr="008D1337">
        <w:rPr>
          <w:i/>
        </w:rPr>
        <w:t xml:space="preserve"> </w:t>
      </w:r>
      <w:proofErr w:type="spellStart"/>
      <w:r w:rsidRPr="008D1337">
        <w:rPr>
          <w:i/>
        </w:rPr>
        <w:t>and</w:t>
      </w:r>
      <w:proofErr w:type="spellEnd"/>
      <w:r w:rsidRPr="008D1337">
        <w:rPr>
          <w:i/>
        </w:rPr>
        <w:t xml:space="preserve"> </w:t>
      </w:r>
      <w:proofErr w:type="spellStart"/>
      <w:r w:rsidRPr="008D1337">
        <w:rPr>
          <w:i/>
        </w:rPr>
        <w:t>the</w:t>
      </w:r>
      <w:proofErr w:type="spellEnd"/>
      <w:r w:rsidRPr="008D1337">
        <w:rPr>
          <w:i/>
        </w:rPr>
        <w:t xml:space="preserve"> </w:t>
      </w:r>
      <w:proofErr w:type="spellStart"/>
      <w:r w:rsidRPr="008D1337">
        <w:rPr>
          <w:i/>
        </w:rPr>
        <w:t>European</w:t>
      </w:r>
      <w:proofErr w:type="spellEnd"/>
      <w:r w:rsidRPr="008D1337">
        <w:rPr>
          <w:i/>
        </w:rPr>
        <w:t xml:space="preserve"> </w:t>
      </w:r>
      <w:proofErr w:type="spellStart"/>
      <w:r w:rsidRPr="008D1337">
        <w:rPr>
          <w:i/>
        </w:rPr>
        <w:t>Convention</w:t>
      </w:r>
      <w:proofErr w:type="spellEnd"/>
      <w:r w:rsidRPr="008D1337">
        <w:rPr>
          <w:i/>
        </w:rPr>
        <w:t xml:space="preserve"> </w:t>
      </w:r>
      <w:proofErr w:type="spellStart"/>
      <w:r w:rsidRPr="008D1337">
        <w:rPr>
          <w:i/>
        </w:rPr>
        <w:t>on</w:t>
      </w:r>
      <w:proofErr w:type="spellEnd"/>
      <w:r w:rsidRPr="008D1337">
        <w:rPr>
          <w:i/>
        </w:rPr>
        <w:t xml:space="preserve"> </w:t>
      </w:r>
      <w:proofErr w:type="spellStart"/>
      <w:r w:rsidRPr="008D1337">
        <w:rPr>
          <w:i/>
        </w:rPr>
        <w:t>Human</w:t>
      </w:r>
      <w:proofErr w:type="spellEnd"/>
      <w:r w:rsidRPr="008D1337">
        <w:rPr>
          <w:i/>
        </w:rPr>
        <w:t xml:space="preserve"> </w:t>
      </w:r>
      <w:proofErr w:type="spellStart"/>
      <w:r w:rsidRPr="008D1337">
        <w:rPr>
          <w:i/>
        </w:rPr>
        <w:t>Rights</w:t>
      </w:r>
      <w:proofErr w:type="spellEnd"/>
      <w:r w:rsidRPr="008D1337">
        <w:t xml:space="preserve">. </w:t>
      </w:r>
      <w:proofErr w:type="spellStart"/>
      <w:r w:rsidRPr="008D1337">
        <w:t>In</w:t>
      </w:r>
      <w:proofErr w:type="spellEnd"/>
      <w:r w:rsidRPr="008D1337">
        <w:t xml:space="preserve">: </w:t>
      </w:r>
      <w:proofErr w:type="spellStart"/>
      <w:r w:rsidRPr="008D1337">
        <w:rPr>
          <w:i/>
          <w:color w:val="000000"/>
        </w:rPr>
        <w:t>Principle</w:t>
      </w:r>
      <w:proofErr w:type="spellEnd"/>
      <w:r w:rsidRPr="008D1337">
        <w:rPr>
          <w:i/>
          <w:color w:val="000000"/>
        </w:rPr>
        <w:t xml:space="preserve"> </w:t>
      </w:r>
      <w:proofErr w:type="spellStart"/>
      <w:r w:rsidRPr="008D1337">
        <w:rPr>
          <w:i/>
          <w:color w:val="000000"/>
        </w:rPr>
        <w:t>of</w:t>
      </w:r>
      <w:proofErr w:type="spellEnd"/>
      <w:r w:rsidRPr="008D1337">
        <w:rPr>
          <w:i/>
          <w:color w:val="000000"/>
        </w:rPr>
        <w:t xml:space="preserve"> </w:t>
      </w:r>
      <w:proofErr w:type="spellStart"/>
      <w:r w:rsidRPr="008D1337">
        <w:rPr>
          <w:i/>
          <w:color w:val="000000"/>
        </w:rPr>
        <w:t>Proportionality</w:t>
      </w:r>
      <w:proofErr w:type="spellEnd"/>
      <w:r w:rsidRPr="008D1337">
        <w:rPr>
          <w:i/>
          <w:color w:val="000000"/>
        </w:rPr>
        <w:t xml:space="preserve"> </w:t>
      </w:r>
      <w:proofErr w:type="spellStart"/>
      <w:r w:rsidRPr="008D1337">
        <w:rPr>
          <w:i/>
          <w:color w:val="000000"/>
        </w:rPr>
        <w:t>in</w:t>
      </w:r>
      <w:proofErr w:type="spellEnd"/>
      <w:r w:rsidRPr="008D1337">
        <w:rPr>
          <w:i/>
          <w:color w:val="000000"/>
        </w:rPr>
        <w:t xml:space="preserve"> </w:t>
      </w:r>
      <w:proofErr w:type="spellStart"/>
      <w:r w:rsidRPr="008D1337">
        <w:rPr>
          <w:i/>
          <w:color w:val="000000"/>
        </w:rPr>
        <w:t>the</w:t>
      </w:r>
      <w:proofErr w:type="spellEnd"/>
      <w:r w:rsidRPr="008D1337">
        <w:rPr>
          <w:i/>
          <w:color w:val="000000"/>
        </w:rPr>
        <w:t xml:space="preserve"> </w:t>
      </w:r>
      <w:proofErr w:type="spellStart"/>
      <w:r w:rsidRPr="008D1337">
        <w:rPr>
          <w:i/>
          <w:color w:val="000000"/>
        </w:rPr>
        <w:t>Laws</w:t>
      </w:r>
      <w:proofErr w:type="spellEnd"/>
      <w:r w:rsidRPr="008D1337">
        <w:rPr>
          <w:i/>
          <w:color w:val="000000"/>
        </w:rPr>
        <w:t xml:space="preserve"> </w:t>
      </w:r>
      <w:proofErr w:type="spellStart"/>
      <w:r w:rsidRPr="008D1337">
        <w:rPr>
          <w:i/>
          <w:color w:val="000000"/>
        </w:rPr>
        <w:t>of</w:t>
      </w:r>
      <w:proofErr w:type="spellEnd"/>
      <w:r w:rsidRPr="008D1337">
        <w:rPr>
          <w:i/>
          <w:color w:val="000000"/>
        </w:rPr>
        <w:t xml:space="preserve"> </w:t>
      </w:r>
      <w:proofErr w:type="spellStart"/>
      <w:r w:rsidRPr="008D1337">
        <w:rPr>
          <w:i/>
          <w:color w:val="000000"/>
        </w:rPr>
        <w:t>Europe</w:t>
      </w:r>
      <w:proofErr w:type="spellEnd"/>
      <w:r w:rsidRPr="008D1337">
        <w:rPr>
          <w:i/>
          <w:color w:val="000000"/>
        </w:rPr>
        <w:t>.</w:t>
      </w:r>
      <w:r w:rsidRPr="008D1337">
        <w:rPr>
          <w:color w:val="000000"/>
        </w:rPr>
        <w:t xml:space="preserve"> </w:t>
      </w:r>
      <w:proofErr w:type="spellStart"/>
      <w:r w:rsidRPr="008D1337">
        <w:rPr>
          <w:color w:val="000000"/>
        </w:rPr>
        <w:t>Ellis</w:t>
      </w:r>
      <w:proofErr w:type="spellEnd"/>
      <w:r w:rsidRPr="008D1337">
        <w:rPr>
          <w:color w:val="000000"/>
        </w:rPr>
        <w:t xml:space="preserve"> E. (Ed.) </w:t>
      </w:r>
      <w:proofErr w:type="spellStart"/>
      <w:r w:rsidRPr="008D1337">
        <w:rPr>
          <w:color w:val="000000"/>
        </w:rPr>
        <w:t>Oxford</w:t>
      </w:r>
      <w:proofErr w:type="spellEnd"/>
      <w:r w:rsidRPr="008D1337">
        <w:rPr>
          <w:color w:val="000000"/>
        </w:rPr>
        <w:t xml:space="preserve">: </w:t>
      </w:r>
      <w:proofErr w:type="spellStart"/>
      <w:r w:rsidRPr="008D1337">
        <w:rPr>
          <w:color w:val="000000"/>
        </w:rPr>
        <w:t>Hart</w:t>
      </w:r>
      <w:proofErr w:type="spellEnd"/>
      <w:r w:rsidRPr="008D1337">
        <w:rPr>
          <w:color w:val="000000"/>
        </w:rPr>
        <w:t xml:space="preserve"> </w:t>
      </w:r>
      <w:proofErr w:type="spellStart"/>
      <w:r w:rsidRPr="008D1337">
        <w:rPr>
          <w:color w:val="000000"/>
        </w:rPr>
        <w:t>Publishing</w:t>
      </w:r>
      <w:proofErr w:type="spellEnd"/>
      <w:r w:rsidRPr="008D1337">
        <w:rPr>
          <w:color w:val="000000"/>
        </w:rPr>
        <w:t>, 1999, p.</w:t>
      </w:r>
      <w:r>
        <w:rPr>
          <w:color w:val="000000"/>
        </w:rPr>
        <w:t> </w:t>
      </w:r>
      <w:r w:rsidRPr="008D1337">
        <w:rPr>
          <w:color w:val="000000"/>
        </w:rPr>
        <w:t>33.</w:t>
      </w:r>
    </w:p>
  </w:footnote>
  <w:footnote w:id="9">
    <w:p w:rsidR="00FB29A6" w:rsidRDefault="00FB29A6" w:rsidP="00833B79">
      <w:pPr>
        <w:pStyle w:val="FootnoteText"/>
      </w:pPr>
      <w:r>
        <w:rPr>
          <w:rStyle w:val="FootnoteReference"/>
        </w:rPr>
        <w:footnoteRef/>
      </w:r>
      <w:r>
        <w:t xml:space="preserve"> </w:t>
      </w:r>
      <w:r w:rsidRPr="00F973D7">
        <w:t>Satversmes tiesas 2002.</w:t>
      </w:r>
      <w:r>
        <w:t> </w:t>
      </w:r>
      <w:r w:rsidRPr="00F973D7">
        <w:t>gada 19.</w:t>
      </w:r>
      <w:r>
        <w:t> </w:t>
      </w:r>
      <w:r w:rsidRPr="00F973D7">
        <w:t>marta sprieduma lietā Nr.</w:t>
      </w:r>
      <w:r>
        <w:t> </w:t>
      </w:r>
      <w:r w:rsidRPr="00F973D7">
        <w:t>2001-12-01 secinājumu daļas 3.1.</w:t>
      </w:r>
      <w:r>
        <w:t> </w:t>
      </w:r>
      <w:r w:rsidRPr="00F973D7">
        <w:t>apakšpunkts</w:t>
      </w:r>
      <w:r>
        <w:t xml:space="preserve">. </w:t>
      </w:r>
    </w:p>
  </w:footnote>
  <w:footnote w:id="10">
    <w:p w:rsidR="00FB29A6" w:rsidRPr="000E24BA" w:rsidRDefault="00FB29A6" w:rsidP="00CB3A2B">
      <w:pPr>
        <w:pStyle w:val="FootnoteText"/>
      </w:pPr>
      <w:r w:rsidRPr="000E24BA">
        <w:rPr>
          <w:rStyle w:val="FootnoteReference"/>
        </w:rPr>
        <w:footnoteRef/>
      </w:r>
      <w:r w:rsidRPr="000E24BA">
        <w:t xml:space="preserve"> </w:t>
      </w:r>
      <w:r w:rsidRPr="000E24BA">
        <w:t>Latvijas Republikas Satversmes komentāri, VIII</w:t>
      </w:r>
      <w:r w:rsidRPr="000E24BA">
        <w:rPr>
          <w:color w:val="1F497D"/>
        </w:rPr>
        <w:t> </w:t>
      </w:r>
      <w:r w:rsidRPr="000E24BA">
        <w:t xml:space="preserve">nodaļa Cilvēka </w:t>
      </w:r>
      <w:proofErr w:type="spellStart"/>
      <w:r w:rsidRPr="000E24BA">
        <w:t>pamattiesības</w:t>
      </w:r>
      <w:proofErr w:type="spellEnd"/>
      <w:r w:rsidRPr="000E24BA">
        <w:t>, autoru kolektīvs prof. R.</w:t>
      </w:r>
      <w:r w:rsidRPr="000E24BA">
        <w:rPr>
          <w:color w:val="1F497D"/>
        </w:rPr>
        <w:t> </w:t>
      </w:r>
      <w:r w:rsidRPr="000E24BA">
        <w:t>Baloža zinātniskā vadībā. Rīga: Latvijas Vēstnesis, 544.</w:t>
      </w:r>
      <w:r w:rsidRPr="000E24BA">
        <w:rPr>
          <w:color w:val="1F497D"/>
        </w:rPr>
        <w:t> </w:t>
      </w:r>
      <w:r w:rsidRPr="000E24BA">
        <w:t>lpp</w:t>
      </w:r>
      <w:r>
        <w:t>.</w:t>
      </w:r>
    </w:p>
  </w:footnote>
  <w:footnote w:id="11">
    <w:p w:rsidR="00FB29A6" w:rsidRDefault="00FB29A6" w:rsidP="00CB3A2B">
      <w:pPr>
        <w:pStyle w:val="FootnoteText"/>
      </w:pPr>
      <w:r>
        <w:rPr>
          <w:rStyle w:val="FootnoteReference"/>
        </w:rPr>
        <w:footnoteRef/>
      </w:r>
      <w:r>
        <w:t xml:space="preserve"> </w:t>
      </w:r>
      <w:r>
        <w:t>Turpat, 545. lpp.</w:t>
      </w:r>
    </w:p>
  </w:footnote>
  <w:footnote w:id="12">
    <w:p w:rsidR="00FB29A6" w:rsidRDefault="00FB29A6" w:rsidP="00CB3A2B">
      <w:pPr>
        <w:pStyle w:val="FootnoteText"/>
      </w:pPr>
      <w:r>
        <w:rPr>
          <w:rStyle w:val="FootnoteReference"/>
        </w:rPr>
        <w:footnoteRef/>
      </w:r>
      <w:r>
        <w:t xml:space="preserve"> </w:t>
      </w:r>
      <w:r>
        <w:t>Turpat, 546.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19A4">
      <w:rPr>
        <w:rStyle w:val="PageNumber"/>
        <w:noProof/>
      </w:rPr>
      <w:t>1</w:t>
    </w:r>
    <w:r w:rsidR="00E719A4">
      <w:rPr>
        <w:rStyle w:val="PageNumber"/>
        <w:noProof/>
      </w:rPr>
      <w:t>5</w:t>
    </w:r>
    <w:r>
      <w:rPr>
        <w:rStyle w:val="PageNumber"/>
      </w:rPr>
      <w:fldChar w:fldCharType="end"/>
    </w:r>
  </w:p>
  <w:p w:rsidR="006455E7" w:rsidRDefault="003573CF" w:rsidP="003573CF">
    <w:pPr>
      <w:pStyle w:val="Header"/>
      <w:tabs>
        <w:tab w:val="clear" w:pos="4153"/>
        <w:tab w:val="clear" w:pos="8306"/>
        <w:tab w:val="left" w:pos="763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635" w:rsidRDefault="00503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299D"/>
    <w:multiLevelType w:val="hybridMultilevel"/>
    <w:tmpl w:val="D05A9BD2"/>
    <w:lvl w:ilvl="0" w:tplc="4CBE7A02">
      <w:start w:val="1"/>
      <w:numFmt w:val="decimal"/>
      <w:lvlText w:val="%1."/>
      <w:lvlJc w:val="left"/>
      <w:pPr>
        <w:ind w:left="1069" w:hanging="360"/>
      </w:pPr>
      <w:rPr>
        <w:rFonts w:ascii="Times New Roman" w:hAnsi="Times New Roman" w:cs="Times New Roman" w:hint="default"/>
        <w:b w:val="0"/>
        <w:bCs w:val="0"/>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41A519B"/>
    <w:multiLevelType w:val="hybridMultilevel"/>
    <w:tmpl w:val="27428988"/>
    <w:lvl w:ilvl="0" w:tplc="2C2AB4E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cs="Wingdings" w:hint="default"/>
      </w:rPr>
    </w:lvl>
    <w:lvl w:ilvl="3" w:tplc="04260001" w:tentative="1">
      <w:start w:val="1"/>
      <w:numFmt w:val="bullet"/>
      <w:lvlText w:val=""/>
      <w:lvlJc w:val="left"/>
      <w:pPr>
        <w:ind w:left="3240" w:hanging="360"/>
      </w:pPr>
      <w:rPr>
        <w:rFonts w:ascii="Symbol" w:hAnsi="Symbol" w:cs="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cs="Wingdings" w:hint="default"/>
      </w:rPr>
    </w:lvl>
    <w:lvl w:ilvl="6" w:tplc="04260001" w:tentative="1">
      <w:start w:val="1"/>
      <w:numFmt w:val="bullet"/>
      <w:lvlText w:val=""/>
      <w:lvlJc w:val="left"/>
      <w:pPr>
        <w:ind w:left="5400" w:hanging="360"/>
      </w:pPr>
      <w:rPr>
        <w:rFonts w:ascii="Symbol" w:hAnsi="Symbol" w:cs="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3F490320"/>
    <w:multiLevelType w:val="hybridMultilevel"/>
    <w:tmpl w:val="D05A9BD2"/>
    <w:lvl w:ilvl="0" w:tplc="4CBE7A02">
      <w:start w:val="1"/>
      <w:numFmt w:val="decimal"/>
      <w:lvlText w:val="%1."/>
      <w:lvlJc w:val="left"/>
      <w:pPr>
        <w:ind w:left="1069" w:hanging="360"/>
      </w:pPr>
      <w:rPr>
        <w:rFonts w:ascii="Times New Roman" w:hAnsi="Times New Roman" w:cs="Times New Roman" w:hint="default"/>
        <w:b w:val="0"/>
        <w:bCs w:val="0"/>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1FF0EE4"/>
    <w:multiLevelType w:val="hybridMultilevel"/>
    <w:tmpl w:val="D05A9BD2"/>
    <w:lvl w:ilvl="0" w:tplc="4CBE7A02">
      <w:start w:val="1"/>
      <w:numFmt w:val="decimal"/>
      <w:lvlText w:val="%1."/>
      <w:lvlJc w:val="left"/>
      <w:pPr>
        <w:ind w:left="1069" w:hanging="360"/>
      </w:pPr>
      <w:rPr>
        <w:rFonts w:ascii="Times New Roman" w:hAnsi="Times New Roman" w:cs="Times New Roman" w:hint="default"/>
        <w:b w:val="0"/>
        <w:bCs w:val="0"/>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1">
    <w:nsid w:val="4D8F33AA"/>
    <w:multiLevelType w:val="hybridMultilevel"/>
    <w:tmpl w:val="0F080876"/>
    <w:lvl w:ilvl="0">
      <w:start w:val="8"/>
      <w:numFmt w:val="bullet"/>
      <w:lvlText w:val=""/>
      <w:lvlJc w:val="left"/>
      <w:pPr>
        <w:ind w:left="720" w:hanging="360"/>
      </w:pPr>
      <w:rPr>
        <w:rFonts w:ascii="Symbol" w:eastAsia="Times New Roman"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1">
    <w:nsid w:val="595726DE"/>
    <w:multiLevelType w:val="hybridMultilevel"/>
    <w:tmpl w:val="1308912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15:restartNumberingAfterBreak="0">
    <w:nsid w:val="5BF17349"/>
    <w:multiLevelType w:val="hybridMultilevel"/>
    <w:tmpl w:val="B8A88C52"/>
    <w:lvl w:ilvl="0" w:tplc="74102E9E">
      <w:start w:val="1"/>
      <w:numFmt w:val="decimal"/>
      <w:lvlText w:val="%1)"/>
      <w:lvlJc w:val="left"/>
      <w:pPr>
        <w:ind w:left="904" w:hanging="360"/>
      </w:pPr>
      <w:rPr>
        <w:rFonts w:hint="default"/>
      </w:rPr>
    </w:lvl>
    <w:lvl w:ilvl="1" w:tplc="04260019" w:tentative="1">
      <w:start w:val="1"/>
      <w:numFmt w:val="lowerLetter"/>
      <w:lvlText w:val="%2."/>
      <w:lvlJc w:val="left"/>
      <w:pPr>
        <w:ind w:left="1624" w:hanging="360"/>
      </w:pPr>
    </w:lvl>
    <w:lvl w:ilvl="2" w:tplc="0426001B" w:tentative="1">
      <w:start w:val="1"/>
      <w:numFmt w:val="lowerRoman"/>
      <w:lvlText w:val="%3."/>
      <w:lvlJc w:val="right"/>
      <w:pPr>
        <w:ind w:left="2344" w:hanging="180"/>
      </w:pPr>
    </w:lvl>
    <w:lvl w:ilvl="3" w:tplc="0426000F" w:tentative="1">
      <w:start w:val="1"/>
      <w:numFmt w:val="decimal"/>
      <w:lvlText w:val="%4."/>
      <w:lvlJc w:val="left"/>
      <w:pPr>
        <w:ind w:left="3064" w:hanging="360"/>
      </w:pPr>
    </w:lvl>
    <w:lvl w:ilvl="4" w:tplc="04260019" w:tentative="1">
      <w:start w:val="1"/>
      <w:numFmt w:val="lowerLetter"/>
      <w:lvlText w:val="%5."/>
      <w:lvlJc w:val="left"/>
      <w:pPr>
        <w:ind w:left="3784" w:hanging="360"/>
      </w:pPr>
    </w:lvl>
    <w:lvl w:ilvl="5" w:tplc="0426001B" w:tentative="1">
      <w:start w:val="1"/>
      <w:numFmt w:val="lowerRoman"/>
      <w:lvlText w:val="%6."/>
      <w:lvlJc w:val="right"/>
      <w:pPr>
        <w:ind w:left="4504" w:hanging="180"/>
      </w:pPr>
    </w:lvl>
    <w:lvl w:ilvl="6" w:tplc="0426000F" w:tentative="1">
      <w:start w:val="1"/>
      <w:numFmt w:val="decimal"/>
      <w:lvlText w:val="%7."/>
      <w:lvlJc w:val="left"/>
      <w:pPr>
        <w:ind w:left="5224" w:hanging="360"/>
      </w:pPr>
    </w:lvl>
    <w:lvl w:ilvl="7" w:tplc="04260019" w:tentative="1">
      <w:start w:val="1"/>
      <w:numFmt w:val="lowerLetter"/>
      <w:lvlText w:val="%8."/>
      <w:lvlJc w:val="left"/>
      <w:pPr>
        <w:ind w:left="5944" w:hanging="360"/>
      </w:pPr>
    </w:lvl>
    <w:lvl w:ilvl="8" w:tplc="0426001B" w:tentative="1">
      <w:start w:val="1"/>
      <w:numFmt w:val="lowerRoman"/>
      <w:lvlText w:val="%9."/>
      <w:lvlJc w:val="right"/>
      <w:pPr>
        <w:ind w:left="6664" w:hanging="180"/>
      </w:pPr>
    </w:lvl>
  </w:abstractNum>
  <w:abstractNum w:abstractNumId="7" w15:restartNumberingAfterBreak="1">
    <w:nsid w:val="64D03A30"/>
    <w:multiLevelType w:val="hybridMultilevel"/>
    <w:tmpl w:val="C2DE714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7"/>
  </w:num>
  <w:num w:numId="4">
    <w:abstractNumId w:val="5"/>
  </w:num>
  <w:num w:numId="5">
    <w:abstractNumId w:val="4"/>
  </w:num>
  <w:num w:numId="6">
    <w:abstractNumId w:val="6"/>
  </w:num>
  <w:num w:numId="7">
    <w:abstractNumId w:val="0"/>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19A"/>
    <w:rsid w:val="00001F89"/>
    <w:rsid w:val="00003C53"/>
    <w:rsid w:val="0000456E"/>
    <w:rsid w:val="000055EA"/>
    <w:rsid w:val="00006BF1"/>
    <w:rsid w:val="0001118D"/>
    <w:rsid w:val="0001131F"/>
    <w:rsid w:val="00011663"/>
    <w:rsid w:val="00012050"/>
    <w:rsid w:val="0001249F"/>
    <w:rsid w:val="000125C0"/>
    <w:rsid w:val="0001270C"/>
    <w:rsid w:val="00012C9B"/>
    <w:rsid w:val="000136AA"/>
    <w:rsid w:val="00013B4C"/>
    <w:rsid w:val="00013BF6"/>
    <w:rsid w:val="0001554C"/>
    <w:rsid w:val="00015B94"/>
    <w:rsid w:val="00015DE5"/>
    <w:rsid w:val="00016E10"/>
    <w:rsid w:val="00017262"/>
    <w:rsid w:val="000172E2"/>
    <w:rsid w:val="00017449"/>
    <w:rsid w:val="00020249"/>
    <w:rsid w:val="00022338"/>
    <w:rsid w:val="0002296A"/>
    <w:rsid w:val="00022B0F"/>
    <w:rsid w:val="00022B9A"/>
    <w:rsid w:val="00023512"/>
    <w:rsid w:val="00023FD6"/>
    <w:rsid w:val="0002416A"/>
    <w:rsid w:val="00024CCD"/>
    <w:rsid w:val="00024D20"/>
    <w:rsid w:val="000253DB"/>
    <w:rsid w:val="00026E8E"/>
    <w:rsid w:val="000278E7"/>
    <w:rsid w:val="00027A63"/>
    <w:rsid w:val="00027F9D"/>
    <w:rsid w:val="000307B5"/>
    <w:rsid w:val="00032457"/>
    <w:rsid w:val="00033909"/>
    <w:rsid w:val="0003413A"/>
    <w:rsid w:val="000349CA"/>
    <w:rsid w:val="0003557A"/>
    <w:rsid w:val="00035C06"/>
    <w:rsid w:val="000366DF"/>
    <w:rsid w:val="00036CF3"/>
    <w:rsid w:val="000376CD"/>
    <w:rsid w:val="000405FC"/>
    <w:rsid w:val="00040A5C"/>
    <w:rsid w:val="00043005"/>
    <w:rsid w:val="0004345F"/>
    <w:rsid w:val="00044026"/>
    <w:rsid w:val="00044C0C"/>
    <w:rsid w:val="00046075"/>
    <w:rsid w:val="00046CAD"/>
    <w:rsid w:val="00046F5C"/>
    <w:rsid w:val="00047385"/>
    <w:rsid w:val="00050554"/>
    <w:rsid w:val="00050BC4"/>
    <w:rsid w:val="00051399"/>
    <w:rsid w:val="00051F6E"/>
    <w:rsid w:val="0005228D"/>
    <w:rsid w:val="00053706"/>
    <w:rsid w:val="00053E04"/>
    <w:rsid w:val="00053F92"/>
    <w:rsid w:val="00057819"/>
    <w:rsid w:val="000579E6"/>
    <w:rsid w:val="00060ADE"/>
    <w:rsid w:val="00060E03"/>
    <w:rsid w:val="000641CE"/>
    <w:rsid w:val="00065271"/>
    <w:rsid w:val="00066176"/>
    <w:rsid w:val="0006618D"/>
    <w:rsid w:val="00066349"/>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735"/>
    <w:rsid w:val="00083B8F"/>
    <w:rsid w:val="00084B11"/>
    <w:rsid w:val="00084DC6"/>
    <w:rsid w:val="00085322"/>
    <w:rsid w:val="0008656F"/>
    <w:rsid w:val="00086AB9"/>
    <w:rsid w:val="00086BCE"/>
    <w:rsid w:val="00086F36"/>
    <w:rsid w:val="00090168"/>
    <w:rsid w:val="00090C76"/>
    <w:rsid w:val="00091033"/>
    <w:rsid w:val="00091F10"/>
    <w:rsid w:val="0009302B"/>
    <w:rsid w:val="00093EC2"/>
    <w:rsid w:val="00093F9C"/>
    <w:rsid w:val="000958A2"/>
    <w:rsid w:val="000965E7"/>
    <w:rsid w:val="000967FC"/>
    <w:rsid w:val="000A0041"/>
    <w:rsid w:val="000A06FC"/>
    <w:rsid w:val="000A07E5"/>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B9A"/>
    <w:rsid w:val="000B7CB1"/>
    <w:rsid w:val="000C0AE6"/>
    <w:rsid w:val="000C0D0D"/>
    <w:rsid w:val="000C2555"/>
    <w:rsid w:val="000C3545"/>
    <w:rsid w:val="000C46F7"/>
    <w:rsid w:val="000C498A"/>
    <w:rsid w:val="000C4C16"/>
    <w:rsid w:val="000C56FC"/>
    <w:rsid w:val="000C7907"/>
    <w:rsid w:val="000C7A11"/>
    <w:rsid w:val="000C7F5E"/>
    <w:rsid w:val="000D00AC"/>
    <w:rsid w:val="000D0AED"/>
    <w:rsid w:val="000D2FDA"/>
    <w:rsid w:val="000D3602"/>
    <w:rsid w:val="000D4D89"/>
    <w:rsid w:val="000D5AC6"/>
    <w:rsid w:val="000D6BBD"/>
    <w:rsid w:val="000D7751"/>
    <w:rsid w:val="000D7A53"/>
    <w:rsid w:val="000D7C23"/>
    <w:rsid w:val="000E0A16"/>
    <w:rsid w:val="000E1BFA"/>
    <w:rsid w:val="000E2142"/>
    <w:rsid w:val="000E21D0"/>
    <w:rsid w:val="000E2A38"/>
    <w:rsid w:val="000E2ACC"/>
    <w:rsid w:val="000E5509"/>
    <w:rsid w:val="000E585F"/>
    <w:rsid w:val="000E5CD2"/>
    <w:rsid w:val="000E66F8"/>
    <w:rsid w:val="000F054F"/>
    <w:rsid w:val="000F079D"/>
    <w:rsid w:val="000F0D9D"/>
    <w:rsid w:val="000F1D56"/>
    <w:rsid w:val="000F2534"/>
    <w:rsid w:val="000F28D9"/>
    <w:rsid w:val="000F2D43"/>
    <w:rsid w:val="000F2F9A"/>
    <w:rsid w:val="000F30E6"/>
    <w:rsid w:val="000F3480"/>
    <w:rsid w:val="000F3AA0"/>
    <w:rsid w:val="000F3F35"/>
    <w:rsid w:val="000F4AEB"/>
    <w:rsid w:val="000F4B40"/>
    <w:rsid w:val="000F4C3B"/>
    <w:rsid w:val="000F4E7B"/>
    <w:rsid w:val="000F5076"/>
    <w:rsid w:val="000F57C3"/>
    <w:rsid w:val="000F5C37"/>
    <w:rsid w:val="000F5DF0"/>
    <w:rsid w:val="000F6A0B"/>
    <w:rsid w:val="000F7695"/>
    <w:rsid w:val="001012E3"/>
    <w:rsid w:val="00101EEB"/>
    <w:rsid w:val="0010375A"/>
    <w:rsid w:val="001038ED"/>
    <w:rsid w:val="001042B0"/>
    <w:rsid w:val="00105769"/>
    <w:rsid w:val="00105B56"/>
    <w:rsid w:val="00106F4F"/>
    <w:rsid w:val="00107186"/>
    <w:rsid w:val="001071D3"/>
    <w:rsid w:val="001075A8"/>
    <w:rsid w:val="00110259"/>
    <w:rsid w:val="00110AA9"/>
    <w:rsid w:val="00111244"/>
    <w:rsid w:val="0011254D"/>
    <w:rsid w:val="001139C2"/>
    <w:rsid w:val="00114048"/>
    <w:rsid w:val="00114559"/>
    <w:rsid w:val="00114E47"/>
    <w:rsid w:val="00114EA9"/>
    <w:rsid w:val="00115ED0"/>
    <w:rsid w:val="0011683C"/>
    <w:rsid w:val="001179E8"/>
    <w:rsid w:val="0012021B"/>
    <w:rsid w:val="0012222D"/>
    <w:rsid w:val="00122F5E"/>
    <w:rsid w:val="001255E6"/>
    <w:rsid w:val="00127A64"/>
    <w:rsid w:val="0013053A"/>
    <w:rsid w:val="0013066A"/>
    <w:rsid w:val="0013140F"/>
    <w:rsid w:val="001315EF"/>
    <w:rsid w:val="00131F39"/>
    <w:rsid w:val="00132375"/>
    <w:rsid w:val="0013245D"/>
    <w:rsid w:val="00132E73"/>
    <w:rsid w:val="00133505"/>
    <w:rsid w:val="00134188"/>
    <w:rsid w:val="00135321"/>
    <w:rsid w:val="00137403"/>
    <w:rsid w:val="00140706"/>
    <w:rsid w:val="0014122A"/>
    <w:rsid w:val="00141B62"/>
    <w:rsid w:val="00141E85"/>
    <w:rsid w:val="0014306D"/>
    <w:rsid w:val="0014319C"/>
    <w:rsid w:val="001436B3"/>
    <w:rsid w:val="00143976"/>
    <w:rsid w:val="00143DAC"/>
    <w:rsid w:val="00144622"/>
    <w:rsid w:val="00144781"/>
    <w:rsid w:val="00144917"/>
    <w:rsid w:val="00146150"/>
    <w:rsid w:val="0014702D"/>
    <w:rsid w:val="00147596"/>
    <w:rsid w:val="00152718"/>
    <w:rsid w:val="001530CF"/>
    <w:rsid w:val="00153F12"/>
    <w:rsid w:val="001543DB"/>
    <w:rsid w:val="00155473"/>
    <w:rsid w:val="00155DC2"/>
    <w:rsid w:val="00155DDA"/>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1541"/>
    <w:rsid w:val="00172EDE"/>
    <w:rsid w:val="00173D35"/>
    <w:rsid w:val="00173F36"/>
    <w:rsid w:val="00174841"/>
    <w:rsid w:val="001761FD"/>
    <w:rsid w:val="00177687"/>
    <w:rsid w:val="00177D61"/>
    <w:rsid w:val="00180125"/>
    <w:rsid w:val="001808CA"/>
    <w:rsid w:val="00180923"/>
    <w:rsid w:val="00180CE5"/>
    <w:rsid w:val="00181BAA"/>
    <w:rsid w:val="00181D2D"/>
    <w:rsid w:val="0018210A"/>
    <w:rsid w:val="001828B9"/>
    <w:rsid w:val="00182DE0"/>
    <w:rsid w:val="0018386C"/>
    <w:rsid w:val="00184401"/>
    <w:rsid w:val="00184479"/>
    <w:rsid w:val="0018472C"/>
    <w:rsid w:val="00184838"/>
    <w:rsid w:val="0018530D"/>
    <w:rsid w:val="00185755"/>
    <w:rsid w:val="00186E20"/>
    <w:rsid w:val="00187398"/>
    <w:rsid w:val="00187F73"/>
    <w:rsid w:val="00187FB0"/>
    <w:rsid w:val="001902E9"/>
    <w:rsid w:val="00190327"/>
    <w:rsid w:val="00190A0A"/>
    <w:rsid w:val="001926F2"/>
    <w:rsid w:val="00193BCE"/>
    <w:rsid w:val="001941E1"/>
    <w:rsid w:val="0019469A"/>
    <w:rsid w:val="00194B87"/>
    <w:rsid w:val="0019569A"/>
    <w:rsid w:val="00195962"/>
    <w:rsid w:val="00197533"/>
    <w:rsid w:val="001977E7"/>
    <w:rsid w:val="00197CCA"/>
    <w:rsid w:val="001A06C7"/>
    <w:rsid w:val="001A0D8A"/>
    <w:rsid w:val="001A192D"/>
    <w:rsid w:val="001A6E65"/>
    <w:rsid w:val="001A798F"/>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74D"/>
    <w:rsid w:val="001B77D6"/>
    <w:rsid w:val="001C0824"/>
    <w:rsid w:val="001C0B83"/>
    <w:rsid w:val="001C0E10"/>
    <w:rsid w:val="001C1510"/>
    <w:rsid w:val="001C1989"/>
    <w:rsid w:val="001C28FD"/>
    <w:rsid w:val="001C3349"/>
    <w:rsid w:val="001C4ABA"/>
    <w:rsid w:val="001C546B"/>
    <w:rsid w:val="001C5EA2"/>
    <w:rsid w:val="001C6608"/>
    <w:rsid w:val="001C6C7D"/>
    <w:rsid w:val="001C6E21"/>
    <w:rsid w:val="001C7A8F"/>
    <w:rsid w:val="001D1CB1"/>
    <w:rsid w:val="001D2AC0"/>
    <w:rsid w:val="001D2DBA"/>
    <w:rsid w:val="001D2FD0"/>
    <w:rsid w:val="001D3830"/>
    <w:rsid w:val="001D3BA6"/>
    <w:rsid w:val="001D4289"/>
    <w:rsid w:val="001D5564"/>
    <w:rsid w:val="001D6FAA"/>
    <w:rsid w:val="001D70FA"/>
    <w:rsid w:val="001D7BA9"/>
    <w:rsid w:val="001E039D"/>
    <w:rsid w:val="001E22E7"/>
    <w:rsid w:val="001E2714"/>
    <w:rsid w:val="001E2B8A"/>
    <w:rsid w:val="001E398C"/>
    <w:rsid w:val="001E430B"/>
    <w:rsid w:val="001E444A"/>
    <w:rsid w:val="001E4456"/>
    <w:rsid w:val="001E4DDC"/>
    <w:rsid w:val="001E6C5C"/>
    <w:rsid w:val="001E774F"/>
    <w:rsid w:val="001E7C1D"/>
    <w:rsid w:val="001F073F"/>
    <w:rsid w:val="001F141A"/>
    <w:rsid w:val="001F3009"/>
    <w:rsid w:val="001F3358"/>
    <w:rsid w:val="001F35CB"/>
    <w:rsid w:val="001F390F"/>
    <w:rsid w:val="001F513F"/>
    <w:rsid w:val="001F5918"/>
    <w:rsid w:val="001F5CD1"/>
    <w:rsid w:val="001F6057"/>
    <w:rsid w:val="001F6401"/>
    <w:rsid w:val="001F7257"/>
    <w:rsid w:val="001F7739"/>
    <w:rsid w:val="001F7D45"/>
    <w:rsid w:val="0020011B"/>
    <w:rsid w:val="0020187E"/>
    <w:rsid w:val="00201DC6"/>
    <w:rsid w:val="002021F3"/>
    <w:rsid w:val="00202375"/>
    <w:rsid w:val="002025EA"/>
    <w:rsid w:val="00202884"/>
    <w:rsid w:val="00202E44"/>
    <w:rsid w:val="00203556"/>
    <w:rsid w:val="00204D0F"/>
    <w:rsid w:val="00204DB6"/>
    <w:rsid w:val="002056ED"/>
    <w:rsid w:val="00205C3A"/>
    <w:rsid w:val="00206835"/>
    <w:rsid w:val="00211793"/>
    <w:rsid w:val="00211C11"/>
    <w:rsid w:val="00212345"/>
    <w:rsid w:val="002126CD"/>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97A"/>
    <w:rsid w:val="00224DA7"/>
    <w:rsid w:val="00225616"/>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0E65"/>
    <w:rsid w:val="002415BC"/>
    <w:rsid w:val="00241C9E"/>
    <w:rsid w:val="0024267E"/>
    <w:rsid w:val="00242B90"/>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19CF"/>
    <w:rsid w:val="0026217B"/>
    <w:rsid w:val="002629E4"/>
    <w:rsid w:val="00263FE3"/>
    <w:rsid w:val="00265593"/>
    <w:rsid w:val="00265A3A"/>
    <w:rsid w:val="0026637C"/>
    <w:rsid w:val="002665C8"/>
    <w:rsid w:val="0026745A"/>
    <w:rsid w:val="002675EA"/>
    <w:rsid w:val="00267BC5"/>
    <w:rsid w:val="00267CBE"/>
    <w:rsid w:val="00267E0B"/>
    <w:rsid w:val="00270680"/>
    <w:rsid w:val="00271103"/>
    <w:rsid w:val="00271EFC"/>
    <w:rsid w:val="002721FA"/>
    <w:rsid w:val="0027230C"/>
    <w:rsid w:val="00272B99"/>
    <w:rsid w:val="0027380D"/>
    <w:rsid w:val="0027468E"/>
    <w:rsid w:val="00274826"/>
    <w:rsid w:val="00275005"/>
    <w:rsid w:val="002752AB"/>
    <w:rsid w:val="002756D6"/>
    <w:rsid w:val="0027573C"/>
    <w:rsid w:val="00280FA1"/>
    <w:rsid w:val="002815D0"/>
    <w:rsid w:val="002820A7"/>
    <w:rsid w:val="00283126"/>
    <w:rsid w:val="00283B82"/>
    <w:rsid w:val="00283E13"/>
    <w:rsid w:val="00284150"/>
    <w:rsid w:val="00284224"/>
    <w:rsid w:val="002859E6"/>
    <w:rsid w:val="00286478"/>
    <w:rsid w:val="00287EDD"/>
    <w:rsid w:val="0029141B"/>
    <w:rsid w:val="002927D3"/>
    <w:rsid w:val="00294939"/>
    <w:rsid w:val="00294BDE"/>
    <w:rsid w:val="00295DB6"/>
    <w:rsid w:val="0029788B"/>
    <w:rsid w:val="002979E8"/>
    <w:rsid w:val="00297D1B"/>
    <w:rsid w:val="00297F4D"/>
    <w:rsid w:val="002A0226"/>
    <w:rsid w:val="002A03B5"/>
    <w:rsid w:val="002A0661"/>
    <w:rsid w:val="002A1CF2"/>
    <w:rsid w:val="002A28F0"/>
    <w:rsid w:val="002A2ED0"/>
    <w:rsid w:val="002A3A84"/>
    <w:rsid w:val="002A4C3E"/>
    <w:rsid w:val="002A56BC"/>
    <w:rsid w:val="002A5C53"/>
    <w:rsid w:val="002A5C91"/>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1D67"/>
    <w:rsid w:val="002C2892"/>
    <w:rsid w:val="002C3AF3"/>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B8A"/>
    <w:rsid w:val="002F3D1C"/>
    <w:rsid w:val="002F4EA1"/>
    <w:rsid w:val="002F52DE"/>
    <w:rsid w:val="002F55C1"/>
    <w:rsid w:val="002F797A"/>
    <w:rsid w:val="002F7D9C"/>
    <w:rsid w:val="00300483"/>
    <w:rsid w:val="00301C91"/>
    <w:rsid w:val="00302E8E"/>
    <w:rsid w:val="00302ECD"/>
    <w:rsid w:val="00303F2B"/>
    <w:rsid w:val="00304607"/>
    <w:rsid w:val="0030467A"/>
    <w:rsid w:val="00304D4E"/>
    <w:rsid w:val="00304FFD"/>
    <w:rsid w:val="00305608"/>
    <w:rsid w:val="00305B72"/>
    <w:rsid w:val="0030610A"/>
    <w:rsid w:val="00306423"/>
    <w:rsid w:val="00306627"/>
    <w:rsid w:val="00306949"/>
    <w:rsid w:val="003069DD"/>
    <w:rsid w:val="00306CAB"/>
    <w:rsid w:val="00311131"/>
    <w:rsid w:val="0031146F"/>
    <w:rsid w:val="00311795"/>
    <w:rsid w:val="003117B1"/>
    <w:rsid w:val="00311B70"/>
    <w:rsid w:val="00311CBE"/>
    <w:rsid w:val="00312280"/>
    <w:rsid w:val="00312CD0"/>
    <w:rsid w:val="00312F20"/>
    <w:rsid w:val="00313672"/>
    <w:rsid w:val="0031449F"/>
    <w:rsid w:val="003145A5"/>
    <w:rsid w:val="003148B9"/>
    <w:rsid w:val="00314A2E"/>
    <w:rsid w:val="00314B6C"/>
    <w:rsid w:val="0031508C"/>
    <w:rsid w:val="00315266"/>
    <w:rsid w:val="0031693B"/>
    <w:rsid w:val="003169CE"/>
    <w:rsid w:val="00316F0A"/>
    <w:rsid w:val="00317249"/>
    <w:rsid w:val="00317DC7"/>
    <w:rsid w:val="003200F9"/>
    <w:rsid w:val="00320F38"/>
    <w:rsid w:val="00321183"/>
    <w:rsid w:val="00321694"/>
    <w:rsid w:val="00321F0A"/>
    <w:rsid w:val="003223CE"/>
    <w:rsid w:val="00322A2D"/>
    <w:rsid w:val="00322E80"/>
    <w:rsid w:val="00322FC8"/>
    <w:rsid w:val="003236E3"/>
    <w:rsid w:val="0032451F"/>
    <w:rsid w:val="00324D5B"/>
    <w:rsid w:val="00325045"/>
    <w:rsid w:val="00325D91"/>
    <w:rsid w:val="003267B4"/>
    <w:rsid w:val="00330711"/>
    <w:rsid w:val="00331193"/>
    <w:rsid w:val="003324AA"/>
    <w:rsid w:val="00332C91"/>
    <w:rsid w:val="003333D4"/>
    <w:rsid w:val="00334476"/>
    <w:rsid w:val="00334951"/>
    <w:rsid w:val="00336411"/>
    <w:rsid w:val="0033678D"/>
    <w:rsid w:val="0033720D"/>
    <w:rsid w:val="003373E8"/>
    <w:rsid w:val="0033794B"/>
    <w:rsid w:val="003413E1"/>
    <w:rsid w:val="003443DD"/>
    <w:rsid w:val="00344D5A"/>
    <w:rsid w:val="003462BB"/>
    <w:rsid w:val="00346EB6"/>
    <w:rsid w:val="00346FE8"/>
    <w:rsid w:val="00347EDB"/>
    <w:rsid w:val="00350797"/>
    <w:rsid w:val="00351A85"/>
    <w:rsid w:val="003522E8"/>
    <w:rsid w:val="00353989"/>
    <w:rsid w:val="00355B7A"/>
    <w:rsid w:val="0035617C"/>
    <w:rsid w:val="00356E7E"/>
    <w:rsid w:val="00356EB8"/>
    <w:rsid w:val="003573CF"/>
    <w:rsid w:val="00357B83"/>
    <w:rsid w:val="003614A8"/>
    <w:rsid w:val="0036160E"/>
    <w:rsid w:val="00361A90"/>
    <w:rsid w:val="00362610"/>
    <w:rsid w:val="003633B5"/>
    <w:rsid w:val="0036370C"/>
    <w:rsid w:val="00363830"/>
    <w:rsid w:val="00363D2D"/>
    <w:rsid w:val="00364BB6"/>
    <w:rsid w:val="00364D6B"/>
    <w:rsid w:val="00365408"/>
    <w:rsid w:val="00365CC0"/>
    <w:rsid w:val="003668DF"/>
    <w:rsid w:val="00367615"/>
    <w:rsid w:val="00367688"/>
    <w:rsid w:val="00372221"/>
    <w:rsid w:val="00372CF2"/>
    <w:rsid w:val="00374C7E"/>
    <w:rsid w:val="00376536"/>
    <w:rsid w:val="00377353"/>
    <w:rsid w:val="0037736B"/>
    <w:rsid w:val="003803F0"/>
    <w:rsid w:val="00381F57"/>
    <w:rsid w:val="0038216E"/>
    <w:rsid w:val="003822E5"/>
    <w:rsid w:val="003830B8"/>
    <w:rsid w:val="00383262"/>
    <w:rsid w:val="00383C2A"/>
    <w:rsid w:val="00384336"/>
    <w:rsid w:val="00384679"/>
    <w:rsid w:val="003876AD"/>
    <w:rsid w:val="0039156F"/>
    <w:rsid w:val="003940EB"/>
    <w:rsid w:val="003963F8"/>
    <w:rsid w:val="003A157A"/>
    <w:rsid w:val="003A180A"/>
    <w:rsid w:val="003A283F"/>
    <w:rsid w:val="003A2A16"/>
    <w:rsid w:val="003A2FDD"/>
    <w:rsid w:val="003A3C43"/>
    <w:rsid w:val="003A5CCC"/>
    <w:rsid w:val="003A70FF"/>
    <w:rsid w:val="003A74D2"/>
    <w:rsid w:val="003A752E"/>
    <w:rsid w:val="003A756B"/>
    <w:rsid w:val="003A7902"/>
    <w:rsid w:val="003B23D7"/>
    <w:rsid w:val="003B34CB"/>
    <w:rsid w:val="003B3AB4"/>
    <w:rsid w:val="003B3CA8"/>
    <w:rsid w:val="003B45D5"/>
    <w:rsid w:val="003B52FE"/>
    <w:rsid w:val="003B572A"/>
    <w:rsid w:val="003B6325"/>
    <w:rsid w:val="003B681D"/>
    <w:rsid w:val="003B71E0"/>
    <w:rsid w:val="003B78A4"/>
    <w:rsid w:val="003C0A1A"/>
    <w:rsid w:val="003C144E"/>
    <w:rsid w:val="003C1A07"/>
    <w:rsid w:val="003C1E74"/>
    <w:rsid w:val="003C20A2"/>
    <w:rsid w:val="003C22B4"/>
    <w:rsid w:val="003C2673"/>
    <w:rsid w:val="003C27A2"/>
    <w:rsid w:val="003C567C"/>
    <w:rsid w:val="003C59B8"/>
    <w:rsid w:val="003C6809"/>
    <w:rsid w:val="003C7897"/>
    <w:rsid w:val="003D0937"/>
    <w:rsid w:val="003D1084"/>
    <w:rsid w:val="003D17E6"/>
    <w:rsid w:val="003D1A20"/>
    <w:rsid w:val="003D1AC9"/>
    <w:rsid w:val="003D2805"/>
    <w:rsid w:val="003D2AC9"/>
    <w:rsid w:val="003D2CD8"/>
    <w:rsid w:val="003D3724"/>
    <w:rsid w:val="003D46A7"/>
    <w:rsid w:val="003D4C35"/>
    <w:rsid w:val="003D61F1"/>
    <w:rsid w:val="003D6376"/>
    <w:rsid w:val="003D7324"/>
    <w:rsid w:val="003E1235"/>
    <w:rsid w:val="003E2A35"/>
    <w:rsid w:val="003E2B56"/>
    <w:rsid w:val="003E2CE1"/>
    <w:rsid w:val="003E2DCB"/>
    <w:rsid w:val="003E4C3F"/>
    <w:rsid w:val="003E4D7C"/>
    <w:rsid w:val="003E5FA8"/>
    <w:rsid w:val="003E6252"/>
    <w:rsid w:val="003F1200"/>
    <w:rsid w:val="003F1349"/>
    <w:rsid w:val="003F1421"/>
    <w:rsid w:val="003F1844"/>
    <w:rsid w:val="003F241E"/>
    <w:rsid w:val="003F28C0"/>
    <w:rsid w:val="003F4C85"/>
    <w:rsid w:val="003F52B2"/>
    <w:rsid w:val="003F6A78"/>
    <w:rsid w:val="003F716E"/>
    <w:rsid w:val="00400061"/>
    <w:rsid w:val="0040068A"/>
    <w:rsid w:val="00400813"/>
    <w:rsid w:val="004013AD"/>
    <w:rsid w:val="00401825"/>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43E"/>
    <w:rsid w:val="0040748E"/>
    <w:rsid w:val="004075A3"/>
    <w:rsid w:val="0041005E"/>
    <w:rsid w:val="004104BB"/>
    <w:rsid w:val="00410C48"/>
    <w:rsid w:val="0041385D"/>
    <w:rsid w:val="00416277"/>
    <w:rsid w:val="0041673A"/>
    <w:rsid w:val="00416E24"/>
    <w:rsid w:val="00417C61"/>
    <w:rsid w:val="0042063D"/>
    <w:rsid w:val="00422B23"/>
    <w:rsid w:val="00423A60"/>
    <w:rsid w:val="00424109"/>
    <w:rsid w:val="0042651C"/>
    <w:rsid w:val="00426E9B"/>
    <w:rsid w:val="00427D55"/>
    <w:rsid w:val="0043233C"/>
    <w:rsid w:val="004343CB"/>
    <w:rsid w:val="004345A6"/>
    <w:rsid w:val="00435B2F"/>
    <w:rsid w:val="00435E03"/>
    <w:rsid w:val="004373E1"/>
    <w:rsid w:val="0043743F"/>
    <w:rsid w:val="004374A3"/>
    <w:rsid w:val="00437A7E"/>
    <w:rsid w:val="00437B6C"/>
    <w:rsid w:val="00440144"/>
    <w:rsid w:val="0044064E"/>
    <w:rsid w:val="00440805"/>
    <w:rsid w:val="004412E1"/>
    <w:rsid w:val="00441554"/>
    <w:rsid w:val="004421BA"/>
    <w:rsid w:val="00442E48"/>
    <w:rsid w:val="00443DCD"/>
    <w:rsid w:val="00443E7E"/>
    <w:rsid w:val="004444B9"/>
    <w:rsid w:val="00444C06"/>
    <w:rsid w:val="004454DF"/>
    <w:rsid w:val="00446804"/>
    <w:rsid w:val="004473A9"/>
    <w:rsid w:val="004478D4"/>
    <w:rsid w:val="00450380"/>
    <w:rsid w:val="004505C6"/>
    <w:rsid w:val="004520CD"/>
    <w:rsid w:val="00452DF3"/>
    <w:rsid w:val="004534F5"/>
    <w:rsid w:val="00453765"/>
    <w:rsid w:val="00454EC3"/>
    <w:rsid w:val="0045530A"/>
    <w:rsid w:val="004554AE"/>
    <w:rsid w:val="004554C3"/>
    <w:rsid w:val="00455FB6"/>
    <w:rsid w:val="00456029"/>
    <w:rsid w:val="00457197"/>
    <w:rsid w:val="00457555"/>
    <w:rsid w:val="00457971"/>
    <w:rsid w:val="00457DD8"/>
    <w:rsid w:val="0046009C"/>
    <w:rsid w:val="004603D0"/>
    <w:rsid w:val="00462356"/>
    <w:rsid w:val="004624AE"/>
    <w:rsid w:val="0046250E"/>
    <w:rsid w:val="00462E9C"/>
    <w:rsid w:val="00464128"/>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064"/>
    <w:rsid w:val="004772E2"/>
    <w:rsid w:val="0047739F"/>
    <w:rsid w:val="00477F97"/>
    <w:rsid w:val="00480A2D"/>
    <w:rsid w:val="00480AFB"/>
    <w:rsid w:val="00481247"/>
    <w:rsid w:val="004828DC"/>
    <w:rsid w:val="00482FF7"/>
    <w:rsid w:val="00483098"/>
    <w:rsid w:val="00483AFB"/>
    <w:rsid w:val="0048402B"/>
    <w:rsid w:val="0048414A"/>
    <w:rsid w:val="004847EA"/>
    <w:rsid w:val="00484A45"/>
    <w:rsid w:val="00485C56"/>
    <w:rsid w:val="00486B79"/>
    <w:rsid w:val="00486CA2"/>
    <w:rsid w:val="0049050A"/>
    <w:rsid w:val="00490B25"/>
    <w:rsid w:val="00490D6F"/>
    <w:rsid w:val="00490FD6"/>
    <w:rsid w:val="004911C4"/>
    <w:rsid w:val="00491DBF"/>
    <w:rsid w:val="00494CC8"/>
    <w:rsid w:val="004955E7"/>
    <w:rsid w:val="0049589C"/>
    <w:rsid w:val="00495EF1"/>
    <w:rsid w:val="00496ED4"/>
    <w:rsid w:val="00497D4A"/>
    <w:rsid w:val="004A0441"/>
    <w:rsid w:val="004A084C"/>
    <w:rsid w:val="004A15B3"/>
    <w:rsid w:val="004A1D01"/>
    <w:rsid w:val="004A22D3"/>
    <w:rsid w:val="004A2A54"/>
    <w:rsid w:val="004A2EF3"/>
    <w:rsid w:val="004A3A18"/>
    <w:rsid w:val="004A3B0D"/>
    <w:rsid w:val="004A52F5"/>
    <w:rsid w:val="004A5D3A"/>
    <w:rsid w:val="004A6897"/>
    <w:rsid w:val="004A692B"/>
    <w:rsid w:val="004A6EB6"/>
    <w:rsid w:val="004A794C"/>
    <w:rsid w:val="004B3BFF"/>
    <w:rsid w:val="004B3EC7"/>
    <w:rsid w:val="004B5664"/>
    <w:rsid w:val="004C2107"/>
    <w:rsid w:val="004C5FC6"/>
    <w:rsid w:val="004C6435"/>
    <w:rsid w:val="004C649B"/>
    <w:rsid w:val="004C7B9C"/>
    <w:rsid w:val="004C7D55"/>
    <w:rsid w:val="004D089A"/>
    <w:rsid w:val="004D3184"/>
    <w:rsid w:val="004D3432"/>
    <w:rsid w:val="004D3C6E"/>
    <w:rsid w:val="004D4C45"/>
    <w:rsid w:val="004D5030"/>
    <w:rsid w:val="004D59C4"/>
    <w:rsid w:val="004D5C54"/>
    <w:rsid w:val="004D6045"/>
    <w:rsid w:val="004D6DA2"/>
    <w:rsid w:val="004D7546"/>
    <w:rsid w:val="004D7EC5"/>
    <w:rsid w:val="004E02B0"/>
    <w:rsid w:val="004E0B29"/>
    <w:rsid w:val="004E0E11"/>
    <w:rsid w:val="004E0F08"/>
    <w:rsid w:val="004E1546"/>
    <w:rsid w:val="004E19DC"/>
    <w:rsid w:val="004E35E8"/>
    <w:rsid w:val="004E50F0"/>
    <w:rsid w:val="004E6A03"/>
    <w:rsid w:val="004E7D59"/>
    <w:rsid w:val="004F0070"/>
    <w:rsid w:val="004F0468"/>
    <w:rsid w:val="004F0C51"/>
    <w:rsid w:val="004F263C"/>
    <w:rsid w:val="004F2BB1"/>
    <w:rsid w:val="004F2EC7"/>
    <w:rsid w:val="004F3CE8"/>
    <w:rsid w:val="004F43A4"/>
    <w:rsid w:val="004F6BFB"/>
    <w:rsid w:val="004F7E4A"/>
    <w:rsid w:val="0050147C"/>
    <w:rsid w:val="0050182B"/>
    <w:rsid w:val="00501CAD"/>
    <w:rsid w:val="00502579"/>
    <w:rsid w:val="005029F7"/>
    <w:rsid w:val="00503635"/>
    <w:rsid w:val="00503D4C"/>
    <w:rsid w:val="00504C0C"/>
    <w:rsid w:val="00504E48"/>
    <w:rsid w:val="005070FF"/>
    <w:rsid w:val="00512BBC"/>
    <w:rsid w:val="005134FB"/>
    <w:rsid w:val="005135FD"/>
    <w:rsid w:val="0051366C"/>
    <w:rsid w:val="0051684F"/>
    <w:rsid w:val="00516A92"/>
    <w:rsid w:val="00516B9F"/>
    <w:rsid w:val="00517693"/>
    <w:rsid w:val="00520161"/>
    <w:rsid w:val="005205AB"/>
    <w:rsid w:val="00523378"/>
    <w:rsid w:val="00524CE3"/>
    <w:rsid w:val="0052550F"/>
    <w:rsid w:val="00526249"/>
    <w:rsid w:val="00526C0F"/>
    <w:rsid w:val="0052702A"/>
    <w:rsid w:val="00530329"/>
    <w:rsid w:val="00530397"/>
    <w:rsid w:val="00530F73"/>
    <w:rsid w:val="00533B8E"/>
    <w:rsid w:val="00535417"/>
    <w:rsid w:val="00535833"/>
    <w:rsid w:val="00536D28"/>
    <w:rsid w:val="005372C5"/>
    <w:rsid w:val="00537A26"/>
    <w:rsid w:val="00540E47"/>
    <w:rsid w:val="00542C97"/>
    <w:rsid w:val="00543283"/>
    <w:rsid w:val="0054364C"/>
    <w:rsid w:val="00544A86"/>
    <w:rsid w:val="00546747"/>
    <w:rsid w:val="00547510"/>
    <w:rsid w:val="0054767C"/>
    <w:rsid w:val="005477C5"/>
    <w:rsid w:val="00547ECC"/>
    <w:rsid w:val="005510C8"/>
    <w:rsid w:val="00551D5A"/>
    <w:rsid w:val="00551EC3"/>
    <w:rsid w:val="00554A44"/>
    <w:rsid w:val="00554C53"/>
    <w:rsid w:val="00554F18"/>
    <w:rsid w:val="00555220"/>
    <w:rsid w:val="005555F0"/>
    <w:rsid w:val="00555739"/>
    <w:rsid w:val="005567F8"/>
    <w:rsid w:val="005569C9"/>
    <w:rsid w:val="00556E75"/>
    <w:rsid w:val="00556EF2"/>
    <w:rsid w:val="0056069A"/>
    <w:rsid w:val="00560C3B"/>
    <w:rsid w:val="00561EA1"/>
    <w:rsid w:val="00562799"/>
    <w:rsid w:val="0056376D"/>
    <w:rsid w:val="00563B17"/>
    <w:rsid w:val="0056424C"/>
    <w:rsid w:val="00564804"/>
    <w:rsid w:val="00565598"/>
    <w:rsid w:val="00565B5A"/>
    <w:rsid w:val="00567E8F"/>
    <w:rsid w:val="005702D6"/>
    <w:rsid w:val="00571F21"/>
    <w:rsid w:val="00572588"/>
    <w:rsid w:val="00572978"/>
    <w:rsid w:val="00573A50"/>
    <w:rsid w:val="005746D2"/>
    <w:rsid w:val="00574E8A"/>
    <w:rsid w:val="00575A1F"/>
    <w:rsid w:val="00577775"/>
    <w:rsid w:val="0058121A"/>
    <w:rsid w:val="00581863"/>
    <w:rsid w:val="00581EA3"/>
    <w:rsid w:val="0058205A"/>
    <w:rsid w:val="0058260B"/>
    <w:rsid w:val="00582F35"/>
    <w:rsid w:val="00584498"/>
    <w:rsid w:val="005846D0"/>
    <w:rsid w:val="00584D1E"/>
    <w:rsid w:val="00585D93"/>
    <w:rsid w:val="00586795"/>
    <w:rsid w:val="00586B82"/>
    <w:rsid w:val="00587E13"/>
    <w:rsid w:val="005933AA"/>
    <w:rsid w:val="005940AA"/>
    <w:rsid w:val="00594614"/>
    <w:rsid w:val="00594DB0"/>
    <w:rsid w:val="00594E10"/>
    <w:rsid w:val="00595242"/>
    <w:rsid w:val="00596306"/>
    <w:rsid w:val="00596487"/>
    <w:rsid w:val="005A0809"/>
    <w:rsid w:val="005A0B91"/>
    <w:rsid w:val="005A1494"/>
    <w:rsid w:val="005A2EBA"/>
    <w:rsid w:val="005A3590"/>
    <w:rsid w:val="005A4285"/>
    <w:rsid w:val="005A4A1C"/>
    <w:rsid w:val="005A4F87"/>
    <w:rsid w:val="005A5BD8"/>
    <w:rsid w:val="005A692A"/>
    <w:rsid w:val="005A69EB"/>
    <w:rsid w:val="005A6AB8"/>
    <w:rsid w:val="005A6AC5"/>
    <w:rsid w:val="005A7B18"/>
    <w:rsid w:val="005B11C2"/>
    <w:rsid w:val="005B1589"/>
    <w:rsid w:val="005B180A"/>
    <w:rsid w:val="005B382C"/>
    <w:rsid w:val="005B3C11"/>
    <w:rsid w:val="005B40DA"/>
    <w:rsid w:val="005B4226"/>
    <w:rsid w:val="005B5AA4"/>
    <w:rsid w:val="005B656B"/>
    <w:rsid w:val="005B71B3"/>
    <w:rsid w:val="005B71C7"/>
    <w:rsid w:val="005B76A4"/>
    <w:rsid w:val="005C04A7"/>
    <w:rsid w:val="005C17A4"/>
    <w:rsid w:val="005C27CC"/>
    <w:rsid w:val="005C370D"/>
    <w:rsid w:val="005C3D54"/>
    <w:rsid w:val="005C501B"/>
    <w:rsid w:val="005C504E"/>
    <w:rsid w:val="005C6153"/>
    <w:rsid w:val="005C78B0"/>
    <w:rsid w:val="005C7B95"/>
    <w:rsid w:val="005D0063"/>
    <w:rsid w:val="005D01EB"/>
    <w:rsid w:val="005D0AF8"/>
    <w:rsid w:val="005D0DFB"/>
    <w:rsid w:val="005D1112"/>
    <w:rsid w:val="005D20BE"/>
    <w:rsid w:val="005D237C"/>
    <w:rsid w:val="005D25E2"/>
    <w:rsid w:val="005D25FF"/>
    <w:rsid w:val="005D260B"/>
    <w:rsid w:val="005D2632"/>
    <w:rsid w:val="005D38E0"/>
    <w:rsid w:val="005D3F32"/>
    <w:rsid w:val="005D4E3E"/>
    <w:rsid w:val="005D67F7"/>
    <w:rsid w:val="005D6851"/>
    <w:rsid w:val="005D7D7E"/>
    <w:rsid w:val="005E0B59"/>
    <w:rsid w:val="005E10FD"/>
    <w:rsid w:val="005E1105"/>
    <w:rsid w:val="005E162F"/>
    <w:rsid w:val="005E218D"/>
    <w:rsid w:val="005E2732"/>
    <w:rsid w:val="005E2C60"/>
    <w:rsid w:val="005E31F6"/>
    <w:rsid w:val="005E3622"/>
    <w:rsid w:val="005E4244"/>
    <w:rsid w:val="005E54FE"/>
    <w:rsid w:val="005E60B3"/>
    <w:rsid w:val="005E676C"/>
    <w:rsid w:val="005E6CB9"/>
    <w:rsid w:val="005E6E29"/>
    <w:rsid w:val="005E7F14"/>
    <w:rsid w:val="005F0154"/>
    <w:rsid w:val="005F0176"/>
    <w:rsid w:val="005F021D"/>
    <w:rsid w:val="005F0E4A"/>
    <w:rsid w:val="005F1EAC"/>
    <w:rsid w:val="005F22EC"/>
    <w:rsid w:val="005F23D6"/>
    <w:rsid w:val="005F308F"/>
    <w:rsid w:val="005F429F"/>
    <w:rsid w:val="005F4869"/>
    <w:rsid w:val="005F4BFD"/>
    <w:rsid w:val="005F5748"/>
    <w:rsid w:val="005F5834"/>
    <w:rsid w:val="005F5E11"/>
    <w:rsid w:val="006003E5"/>
    <w:rsid w:val="00600608"/>
    <w:rsid w:val="00600E63"/>
    <w:rsid w:val="00601561"/>
    <w:rsid w:val="00601E55"/>
    <w:rsid w:val="00602037"/>
    <w:rsid w:val="006024F3"/>
    <w:rsid w:val="006029DD"/>
    <w:rsid w:val="00602C6A"/>
    <w:rsid w:val="00603AF5"/>
    <w:rsid w:val="00603C43"/>
    <w:rsid w:val="0060523F"/>
    <w:rsid w:val="00606C66"/>
    <w:rsid w:val="00607BF6"/>
    <w:rsid w:val="00610145"/>
    <w:rsid w:val="00610D1F"/>
    <w:rsid w:val="00611A72"/>
    <w:rsid w:val="006123C6"/>
    <w:rsid w:val="00612C02"/>
    <w:rsid w:val="00612CDD"/>
    <w:rsid w:val="0061562E"/>
    <w:rsid w:val="006156F9"/>
    <w:rsid w:val="00616D41"/>
    <w:rsid w:val="00617292"/>
    <w:rsid w:val="006200A9"/>
    <w:rsid w:val="00621C3C"/>
    <w:rsid w:val="00622225"/>
    <w:rsid w:val="00622D03"/>
    <w:rsid w:val="00622DCD"/>
    <w:rsid w:val="00622F57"/>
    <w:rsid w:val="00623716"/>
    <w:rsid w:val="00623DD5"/>
    <w:rsid w:val="00624269"/>
    <w:rsid w:val="00624A34"/>
    <w:rsid w:val="0062568D"/>
    <w:rsid w:val="006256D3"/>
    <w:rsid w:val="006267F5"/>
    <w:rsid w:val="00627337"/>
    <w:rsid w:val="00630069"/>
    <w:rsid w:val="00630583"/>
    <w:rsid w:val="006306D8"/>
    <w:rsid w:val="00630D2E"/>
    <w:rsid w:val="00630D39"/>
    <w:rsid w:val="00631E19"/>
    <w:rsid w:val="00631FC7"/>
    <w:rsid w:val="00633E76"/>
    <w:rsid w:val="00633EC9"/>
    <w:rsid w:val="006340F5"/>
    <w:rsid w:val="006344B0"/>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4C08"/>
    <w:rsid w:val="006455E7"/>
    <w:rsid w:val="00645758"/>
    <w:rsid w:val="006461A1"/>
    <w:rsid w:val="006467A2"/>
    <w:rsid w:val="00647422"/>
    <w:rsid w:val="00647E6B"/>
    <w:rsid w:val="00650E84"/>
    <w:rsid w:val="0065198B"/>
    <w:rsid w:val="006525AF"/>
    <w:rsid w:val="0065266A"/>
    <w:rsid w:val="0065293D"/>
    <w:rsid w:val="00653F9C"/>
    <w:rsid w:val="00655470"/>
    <w:rsid w:val="00655F3E"/>
    <w:rsid w:val="00656FEE"/>
    <w:rsid w:val="0065758F"/>
    <w:rsid w:val="006604DF"/>
    <w:rsid w:val="00660897"/>
    <w:rsid w:val="00661028"/>
    <w:rsid w:val="006617BD"/>
    <w:rsid w:val="0066194D"/>
    <w:rsid w:val="00662608"/>
    <w:rsid w:val="00664695"/>
    <w:rsid w:val="00664840"/>
    <w:rsid w:val="00664B44"/>
    <w:rsid w:val="006652BF"/>
    <w:rsid w:val="0066630C"/>
    <w:rsid w:val="00667BBD"/>
    <w:rsid w:val="00670761"/>
    <w:rsid w:val="00671149"/>
    <w:rsid w:val="00671615"/>
    <w:rsid w:val="00671741"/>
    <w:rsid w:val="00671766"/>
    <w:rsid w:val="00672914"/>
    <w:rsid w:val="00673CB2"/>
    <w:rsid w:val="006744C3"/>
    <w:rsid w:val="00674A79"/>
    <w:rsid w:val="0067537F"/>
    <w:rsid w:val="00676410"/>
    <w:rsid w:val="00680509"/>
    <w:rsid w:val="006805CB"/>
    <w:rsid w:val="00681CC1"/>
    <w:rsid w:val="0068233B"/>
    <w:rsid w:val="00682E11"/>
    <w:rsid w:val="00683081"/>
    <w:rsid w:val="00683879"/>
    <w:rsid w:val="00684C6E"/>
    <w:rsid w:val="00684C95"/>
    <w:rsid w:val="006850D3"/>
    <w:rsid w:val="00685249"/>
    <w:rsid w:val="006856B9"/>
    <w:rsid w:val="00685BDE"/>
    <w:rsid w:val="00686085"/>
    <w:rsid w:val="00687C0D"/>
    <w:rsid w:val="00691237"/>
    <w:rsid w:val="006920E6"/>
    <w:rsid w:val="00692555"/>
    <w:rsid w:val="00693F99"/>
    <w:rsid w:val="00695C25"/>
    <w:rsid w:val="00696566"/>
    <w:rsid w:val="006966BA"/>
    <w:rsid w:val="0069722D"/>
    <w:rsid w:val="006A0052"/>
    <w:rsid w:val="006A0A9E"/>
    <w:rsid w:val="006A1F1C"/>
    <w:rsid w:val="006A34B3"/>
    <w:rsid w:val="006A3836"/>
    <w:rsid w:val="006A3DD3"/>
    <w:rsid w:val="006A4625"/>
    <w:rsid w:val="006A47AE"/>
    <w:rsid w:val="006A5B5E"/>
    <w:rsid w:val="006A67CB"/>
    <w:rsid w:val="006A6AC2"/>
    <w:rsid w:val="006A6D9F"/>
    <w:rsid w:val="006B0368"/>
    <w:rsid w:val="006B0F6E"/>
    <w:rsid w:val="006B1D7B"/>
    <w:rsid w:val="006B27D4"/>
    <w:rsid w:val="006B2C9C"/>
    <w:rsid w:val="006B343D"/>
    <w:rsid w:val="006B3ECF"/>
    <w:rsid w:val="006B48EB"/>
    <w:rsid w:val="006B4C00"/>
    <w:rsid w:val="006B56FC"/>
    <w:rsid w:val="006B6DDA"/>
    <w:rsid w:val="006B73D9"/>
    <w:rsid w:val="006B7DF0"/>
    <w:rsid w:val="006B7E74"/>
    <w:rsid w:val="006C0D75"/>
    <w:rsid w:val="006C1C48"/>
    <w:rsid w:val="006C3C1D"/>
    <w:rsid w:val="006C41FF"/>
    <w:rsid w:val="006C4C00"/>
    <w:rsid w:val="006C5145"/>
    <w:rsid w:val="006C65A8"/>
    <w:rsid w:val="006C76B5"/>
    <w:rsid w:val="006D05AD"/>
    <w:rsid w:val="006D0EC1"/>
    <w:rsid w:val="006D16F8"/>
    <w:rsid w:val="006D1813"/>
    <w:rsid w:val="006D24A9"/>
    <w:rsid w:val="006D2AF3"/>
    <w:rsid w:val="006D4BE5"/>
    <w:rsid w:val="006D4D79"/>
    <w:rsid w:val="006D4FBD"/>
    <w:rsid w:val="006D5879"/>
    <w:rsid w:val="006D5E2E"/>
    <w:rsid w:val="006D63FD"/>
    <w:rsid w:val="006D65B4"/>
    <w:rsid w:val="006D66A5"/>
    <w:rsid w:val="006D754A"/>
    <w:rsid w:val="006D7B9C"/>
    <w:rsid w:val="006E04C6"/>
    <w:rsid w:val="006E0A65"/>
    <w:rsid w:val="006E1B01"/>
    <w:rsid w:val="006E3E3D"/>
    <w:rsid w:val="006E449C"/>
    <w:rsid w:val="006E4836"/>
    <w:rsid w:val="006E5DDD"/>
    <w:rsid w:val="006E7811"/>
    <w:rsid w:val="006F00BB"/>
    <w:rsid w:val="006F04DA"/>
    <w:rsid w:val="006F0557"/>
    <w:rsid w:val="006F0EA3"/>
    <w:rsid w:val="006F1B5D"/>
    <w:rsid w:val="006F1C83"/>
    <w:rsid w:val="006F212B"/>
    <w:rsid w:val="006F37F7"/>
    <w:rsid w:val="006F4A61"/>
    <w:rsid w:val="006F4ADC"/>
    <w:rsid w:val="006F643D"/>
    <w:rsid w:val="006F675C"/>
    <w:rsid w:val="006F6D13"/>
    <w:rsid w:val="006F7759"/>
    <w:rsid w:val="006F7D95"/>
    <w:rsid w:val="00700D41"/>
    <w:rsid w:val="00700E30"/>
    <w:rsid w:val="00701B21"/>
    <w:rsid w:val="00702384"/>
    <w:rsid w:val="00702696"/>
    <w:rsid w:val="00704BAE"/>
    <w:rsid w:val="00705807"/>
    <w:rsid w:val="00705C74"/>
    <w:rsid w:val="00705C78"/>
    <w:rsid w:val="00705FDB"/>
    <w:rsid w:val="007060E1"/>
    <w:rsid w:val="00706824"/>
    <w:rsid w:val="00706B85"/>
    <w:rsid w:val="007071FC"/>
    <w:rsid w:val="00707C84"/>
    <w:rsid w:val="007108C5"/>
    <w:rsid w:val="00710A59"/>
    <w:rsid w:val="00710FDE"/>
    <w:rsid w:val="007116C7"/>
    <w:rsid w:val="00711C5A"/>
    <w:rsid w:val="00712B66"/>
    <w:rsid w:val="0071318D"/>
    <w:rsid w:val="00713C31"/>
    <w:rsid w:val="0071428D"/>
    <w:rsid w:val="007144C9"/>
    <w:rsid w:val="00716B3C"/>
    <w:rsid w:val="00716DE7"/>
    <w:rsid w:val="007170C2"/>
    <w:rsid w:val="0071776D"/>
    <w:rsid w:val="00717EE4"/>
    <w:rsid w:val="00717F2D"/>
    <w:rsid w:val="00720453"/>
    <w:rsid w:val="00720853"/>
    <w:rsid w:val="00721520"/>
    <w:rsid w:val="00722129"/>
    <w:rsid w:val="00724173"/>
    <w:rsid w:val="00726730"/>
    <w:rsid w:val="00726848"/>
    <w:rsid w:val="007279D9"/>
    <w:rsid w:val="00727AB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1E7B"/>
    <w:rsid w:val="0074250D"/>
    <w:rsid w:val="007445E2"/>
    <w:rsid w:val="00745496"/>
    <w:rsid w:val="007460DA"/>
    <w:rsid w:val="0074705B"/>
    <w:rsid w:val="007470EC"/>
    <w:rsid w:val="0075020B"/>
    <w:rsid w:val="00751017"/>
    <w:rsid w:val="00751960"/>
    <w:rsid w:val="007535C7"/>
    <w:rsid w:val="00753FA0"/>
    <w:rsid w:val="007548BF"/>
    <w:rsid w:val="00756551"/>
    <w:rsid w:val="00757769"/>
    <w:rsid w:val="0076067E"/>
    <w:rsid w:val="00761BFD"/>
    <w:rsid w:val="00761D5C"/>
    <w:rsid w:val="00761FE5"/>
    <w:rsid w:val="00762476"/>
    <w:rsid w:val="00762A18"/>
    <w:rsid w:val="00763AE2"/>
    <w:rsid w:val="0076467D"/>
    <w:rsid w:val="00766D90"/>
    <w:rsid w:val="00767C19"/>
    <w:rsid w:val="00767D4E"/>
    <w:rsid w:val="00771067"/>
    <w:rsid w:val="007722ED"/>
    <w:rsid w:val="00774085"/>
    <w:rsid w:val="0077408B"/>
    <w:rsid w:val="00774203"/>
    <w:rsid w:val="00774AF6"/>
    <w:rsid w:val="00774EC8"/>
    <w:rsid w:val="00776781"/>
    <w:rsid w:val="0077734C"/>
    <w:rsid w:val="007776CC"/>
    <w:rsid w:val="00777CE9"/>
    <w:rsid w:val="00780D05"/>
    <w:rsid w:val="00782493"/>
    <w:rsid w:val="00783C7B"/>
    <w:rsid w:val="0078556C"/>
    <w:rsid w:val="007855C5"/>
    <w:rsid w:val="007856D3"/>
    <w:rsid w:val="00785ABD"/>
    <w:rsid w:val="007860C6"/>
    <w:rsid w:val="00786254"/>
    <w:rsid w:val="00786DB0"/>
    <w:rsid w:val="00787D47"/>
    <w:rsid w:val="0079014E"/>
    <w:rsid w:val="00791133"/>
    <w:rsid w:val="0079148B"/>
    <w:rsid w:val="00792971"/>
    <w:rsid w:val="007935C6"/>
    <w:rsid w:val="00793C5F"/>
    <w:rsid w:val="00794129"/>
    <w:rsid w:val="00794516"/>
    <w:rsid w:val="00794874"/>
    <w:rsid w:val="00794878"/>
    <w:rsid w:val="00795512"/>
    <w:rsid w:val="00795AB7"/>
    <w:rsid w:val="00795E37"/>
    <w:rsid w:val="0079694C"/>
    <w:rsid w:val="00796D89"/>
    <w:rsid w:val="00796DA2"/>
    <w:rsid w:val="007A0415"/>
    <w:rsid w:val="007A06BA"/>
    <w:rsid w:val="007A1850"/>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368D"/>
    <w:rsid w:val="007B4B7F"/>
    <w:rsid w:val="007B4C0F"/>
    <w:rsid w:val="007B5E25"/>
    <w:rsid w:val="007B6A20"/>
    <w:rsid w:val="007B6E0E"/>
    <w:rsid w:val="007C27FB"/>
    <w:rsid w:val="007C2CBB"/>
    <w:rsid w:val="007C309C"/>
    <w:rsid w:val="007C4209"/>
    <w:rsid w:val="007C54A0"/>
    <w:rsid w:val="007C5EB9"/>
    <w:rsid w:val="007C7449"/>
    <w:rsid w:val="007C7EA5"/>
    <w:rsid w:val="007D1A95"/>
    <w:rsid w:val="007D245E"/>
    <w:rsid w:val="007D3764"/>
    <w:rsid w:val="007D485A"/>
    <w:rsid w:val="007D54FF"/>
    <w:rsid w:val="007D57D4"/>
    <w:rsid w:val="007D6315"/>
    <w:rsid w:val="007D7183"/>
    <w:rsid w:val="007D724A"/>
    <w:rsid w:val="007D75A3"/>
    <w:rsid w:val="007E16E2"/>
    <w:rsid w:val="007E19FE"/>
    <w:rsid w:val="007E1AAC"/>
    <w:rsid w:val="007E1DC5"/>
    <w:rsid w:val="007E1ED2"/>
    <w:rsid w:val="007E28C9"/>
    <w:rsid w:val="007E3B9C"/>
    <w:rsid w:val="007E4A2F"/>
    <w:rsid w:val="007E4A31"/>
    <w:rsid w:val="007E5C4A"/>
    <w:rsid w:val="007E6915"/>
    <w:rsid w:val="007E74CA"/>
    <w:rsid w:val="007E7AD3"/>
    <w:rsid w:val="007F0070"/>
    <w:rsid w:val="007F0441"/>
    <w:rsid w:val="007F0E99"/>
    <w:rsid w:val="007F20F1"/>
    <w:rsid w:val="007F403F"/>
    <w:rsid w:val="007F4224"/>
    <w:rsid w:val="007F4DD2"/>
    <w:rsid w:val="007F4E77"/>
    <w:rsid w:val="007F4FB9"/>
    <w:rsid w:val="007F7022"/>
    <w:rsid w:val="007F7690"/>
    <w:rsid w:val="007F796C"/>
    <w:rsid w:val="008011CC"/>
    <w:rsid w:val="00801404"/>
    <w:rsid w:val="008017AA"/>
    <w:rsid w:val="00801CBA"/>
    <w:rsid w:val="00801D92"/>
    <w:rsid w:val="00803BF0"/>
    <w:rsid w:val="008042EA"/>
    <w:rsid w:val="00804BCF"/>
    <w:rsid w:val="00804FA4"/>
    <w:rsid w:val="00805275"/>
    <w:rsid w:val="00806971"/>
    <w:rsid w:val="00806A62"/>
    <w:rsid w:val="00806E55"/>
    <w:rsid w:val="008075CE"/>
    <w:rsid w:val="00812179"/>
    <w:rsid w:val="008124E2"/>
    <w:rsid w:val="00812C91"/>
    <w:rsid w:val="00812DE8"/>
    <w:rsid w:val="00813928"/>
    <w:rsid w:val="00815321"/>
    <w:rsid w:val="008166DB"/>
    <w:rsid w:val="00817077"/>
    <w:rsid w:val="008173E0"/>
    <w:rsid w:val="008175C1"/>
    <w:rsid w:val="008200D4"/>
    <w:rsid w:val="00820370"/>
    <w:rsid w:val="00820CC6"/>
    <w:rsid w:val="00822C41"/>
    <w:rsid w:val="00825043"/>
    <w:rsid w:val="00825267"/>
    <w:rsid w:val="00825F1D"/>
    <w:rsid w:val="008264EC"/>
    <w:rsid w:val="00826831"/>
    <w:rsid w:val="00827C0D"/>
    <w:rsid w:val="00830642"/>
    <w:rsid w:val="00831250"/>
    <w:rsid w:val="00831D8D"/>
    <w:rsid w:val="00831ED5"/>
    <w:rsid w:val="008333B7"/>
    <w:rsid w:val="008336EC"/>
    <w:rsid w:val="008337B9"/>
    <w:rsid w:val="00833B79"/>
    <w:rsid w:val="00834FD2"/>
    <w:rsid w:val="00835084"/>
    <w:rsid w:val="00835184"/>
    <w:rsid w:val="00835569"/>
    <w:rsid w:val="00835802"/>
    <w:rsid w:val="00835980"/>
    <w:rsid w:val="00836295"/>
    <w:rsid w:val="008370EE"/>
    <w:rsid w:val="0084093F"/>
    <w:rsid w:val="0084098A"/>
    <w:rsid w:val="00840DB0"/>
    <w:rsid w:val="00840EDE"/>
    <w:rsid w:val="008418A5"/>
    <w:rsid w:val="00841E5B"/>
    <w:rsid w:val="00843548"/>
    <w:rsid w:val="0084383C"/>
    <w:rsid w:val="00843CC0"/>
    <w:rsid w:val="00844ADD"/>
    <w:rsid w:val="0084534E"/>
    <w:rsid w:val="00846062"/>
    <w:rsid w:val="008474C1"/>
    <w:rsid w:val="00847C1C"/>
    <w:rsid w:val="00850120"/>
    <w:rsid w:val="0085055E"/>
    <w:rsid w:val="00850C3B"/>
    <w:rsid w:val="00851605"/>
    <w:rsid w:val="008527FA"/>
    <w:rsid w:val="00852CA0"/>
    <w:rsid w:val="00852D85"/>
    <w:rsid w:val="00852F6C"/>
    <w:rsid w:val="0085465C"/>
    <w:rsid w:val="00854967"/>
    <w:rsid w:val="0085540B"/>
    <w:rsid w:val="00855511"/>
    <w:rsid w:val="0085582C"/>
    <w:rsid w:val="00855FD3"/>
    <w:rsid w:val="00857086"/>
    <w:rsid w:val="00857572"/>
    <w:rsid w:val="00860A47"/>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7CF"/>
    <w:rsid w:val="00870AA2"/>
    <w:rsid w:val="00873D88"/>
    <w:rsid w:val="0087433B"/>
    <w:rsid w:val="0087472C"/>
    <w:rsid w:val="0087621E"/>
    <w:rsid w:val="008767B2"/>
    <w:rsid w:val="00877328"/>
    <w:rsid w:val="0087787A"/>
    <w:rsid w:val="008802F0"/>
    <w:rsid w:val="00880619"/>
    <w:rsid w:val="00880992"/>
    <w:rsid w:val="00881692"/>
    <w:rsid w:val="00883143"/>
    <w:rsid w:val="00886154"/>
    <w:rsid w:val="00886E3C"/>
    <w:rsid w:val="00890133"/>
    <w:rsid w:val="00890277"/>
    <w:rsid w:val="0089061A"/>
    <w:rsid w:val="00890BBC"/>
    <w:rsid w:val="008915C6"/>
    <w:rsid w:val="00891677"/>
    <w:rsid w:val="00892DB5"/>
    <w:rsid w:val="00894B61"/>
    <w:rsid w:val="0089518D"/>
    <w:rsid w:val="00895255"/>
    <w:rsid w:val="00895DF1"/>
    <w:rsid w:val="00896645"/>
    <w:rsid w:val="008975D2"/>
    <w:rsid w:val="008A035B"/>
    <w:rsid w:val="008A0459"/>
    <w:rsid w:val="008A1218"/>
    <w:rsid w:val="008A15B6"/>
    <w:rsid w:val="008A1A6E"/>
    <w:rsid w:val="008A202A"/>
    <w:rsid w:val="008A36C9"/>
    <w:rsid w:val="008A372E"/>
    <w:rsid w:val="008A5290"/>
    <w:rsid w:val="008A5AF9"/>
    <w:rsid w:val="008B0663"/>
    <w:rsid w:val="008B16DE"/>
    <w:rsid w:val="008B251F"/>
    <w:rsid w:val="008B2602"/>
    <w:rsid w:val="008B2727"/>
    <w:rsid w:val="008B3013"/>
    <w:rsid w:val="008B316B"/>
    <w:rsid w:val="008B5059"/>
    <w:rsid w:val="008B5BF2"/>
    <w:rsid w:val="008B6934"/>
    <w:rsid w:val="008B6CF8"/>
    <w:rsid w:val="008B6D29"/>
    <w:rsid w:val="008B72F6"/>
    <w:rsid w:val="008C119E"/>
    <w:rsid w:val="008C1B09"/>
    <w:rsid w:val="008C1E24"/>
    <w:rsid w:val="008C296B"/>
    <w:rsid w:val="008C2A46"/>
    <w:rsid w:val="008C4278"/>
    <w:rsid w:val="008C520E"/>
    <w:rsid w:val="008C563B"/>
    <w:rsid w:val="008C567E"/>
    <w:rsid w:val="008C5DEE"/>
    <w:rsid w:val="008C6285"/>
    <w:rsid w:val="008C7182"/>
    <w:rsid w:val="008C7268"/>
    <w:rsid w:val="008C77D4"/>
    <w:rsid w:val="008C7CA5"/>
    <w:rsid w:val="008C7D9D"/>
    <w:rsid w:val="008D0416"/>
    <w:rsid w:val="008D13C6"/>
    <w:rsid w:val="008D1B04"/>
    <w:rsid w:val="008D3235"/>
    <w:rsid w:val="008D33C8"/>
    <w:rsid w:val="008D3893"/>
    <w:rsid w:val="008D45CD"/>
    <w:rsid w:val="008D5573"/>
    <w:rsid w:val="008D55F1"/>
    <w:rsid w:val="008D5CD7"/>
    <w:rsid w:val="008D718E"/>
    <w:rsid w:val="008E09C5"/>
    <w:rsid w:val="008E0AA7"/>
    <w:rsid w:val="008E2355"/>
    <w:rsid w:val="008E3151"/>
    <w:rsid w:val="008E3386"/>
    <w:rsid w:val="008E44C8"/>
    <w:rsid w:val="008E5410"/>
    <w:rsid w:val="008E5575"/>
    <w:rsid w:val="008E5A3F"/>
    <w:rsid w:val="008E6348"/>
    <w:rsid w:val="008E7209"/>
    <w:rsid w:val="008E7448"/>
    <w:rsid w:val="008F11BB"/>
    <w:rsid w:val="008F16FF"/>
    <w:rsid w:val="008F182F"/>
    <w:rsid w:val="008F1E95"/>
    <w:rsid w:val="008F2304"/>
    <w:rsid w:val="008F4429"/>
    <w:rsid w:val="008F57DD"/>
    <w:rsid w:val="008F5AEE"/>
    <w:rsid w:val="008F5E41"/>
    <w:rsid w:val="008F6EAA"/>
    <w:rsid w:val="008F7800"/>
    <w:rsid w:val="008F7BCA"/>
    <w:rsid w:val="00900DC8"/>
    <w:rsid w:val="00900F4D"/>
    <w:rsid w:val="0090167B"/>
    <w:rsid w:val="00901CDE"/>
    <w:rsid w:val="00902DEC"/>
    <w:rsid w:val="0090342E"/>
    <w:rsid w:val="00903D3A"/>
    <w:rsid w:val="009044B9"/>
    <w:rsid w:val="009047B1"/>
    <w:rsid w:val="00904C86"/>
    <w:rsid w:val="0090655C"/>
    <w:rsid w:val="0090680D"/>
    <w:rsid w:val="0091045D"/>
    <w:rsid w:val="00910772"/>
    <w:rsid w:val="0091281A"/>
    <w:rsid w:val="00912B24"/>
    <w:rsid w:val="009139B5"/>
    <w:rsid w:val="00914049"/>
    <w:rsid w:val="00914514"/>
    <w:rsid w:val="00914549"/>
    <w:rsid w:val="00914C08"/>
    <w:rsid w:val="00914F2F"/>
    <w:rsid w:val="00915A62"/>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293A"/>
    <w:rsid w:val="0093375E"/>
    <w:rsid w:val="00933BEF"/>
    <w:rsid w:val="0093787E"/>
    <w:rsid w:val="00941073"/>
    <w:rsid w:val="009412CC"/>
    <w:rsid w:val="009415E1"/>
    <w:rsid w:val="0094388B"/>
    <w:rsid w:val="00943D09"/>
    <w:rsid w:val="00944826"/>
    <w:rsid w:val="009457A1"/>
    <w:rsid w:val="0094722A"/>
    <w:rsid w:val="00947C5D"/>
    <w:rsid w:val="00947CA9"/>
    <w:rsid w:val="00950478"/>
    <w:rsid w:val="00950888"/>
    <w:rsid w:val="00950AF9"/>
    <w:rsid w:val="00950B5F"/>
    <w:rsid w:val="00950D35"/>
    <w:rsid w:val="00950FAC"/>
    <w:rsid w:val="0095144C"/>
    <w:rsid w:val="0095165B"/>
    <w:rsid w:val="00951B17"/>
    <w:rsid w:val="00951B8D"/>
    <w:rsid w:val="00952CE0"/>
    <w:rsid w:val="009536A8"/>
    <w:rsid w:val="00954596"/>
    <w:rsid w:val="00955851"/>
    <w:rsid w:val="00955F70"/>
    <w:rsid w:val="0095673E"/>
    <w:rsid w:val="00957E23"/>
    <w:rsid w:val="009606EC"/>
    <w:rsid w:val="00961487"/>
    <w:rsid w:val="00961BA7"/>
    <w:rsid w:val="00961F01"/>
    <w:rsid w:val="00962162"/>
    <w:rsid w:val="009623BC"/>
    <w:rsid w:val="009628BE"/>
    <w:rsid w:val="00962BD5"/>
    <w:rsid w:val="009631C8"/>
    <w:rsid w:val="00963AE4"/>
    <w:rsid w:val="00963C14"/>
    <w:rsid w:val="009645CD"/>
    <w:rsid w:val="00964695"/>
    <w:rsid w:val="00965940"/>
    <w:rsid w:val="00965A4E"/>
    <w:rsid w:val="00966BE5"/>
    <w:rsid w:val="00966EB0"/>
    <w:rsid w:val="00971116"/>
    <w:rsid w:val="00972E28"/>
    <w:rsid w:val="00973030"/>
    <w:rsid w:val="009733F3"/>
    <w:rsid w:val="009748E4"/>
    <w:rsid w:val="00974F8B"/>
    <w:rsid w:val="00975EC7"/>
    <w:rsid w:val="00976D65"/>
    <w:rsid w:val="00977CE6"/>
    <w:rsid w:val="009807AC"/>
    <w:rsid w:val="00980C18"/>
    <w:rsid w:val="009810E9"/>
    <w:rsid w:val="009812DE"/>
    <w:rsid w:val="009813E7"/>
    <w:rsid w:val="0098141C"/>
    <w:rsid w:val="00981AA9"/>
    <w:rsid w:val="00981C91"/>
    <w:rsid w:val="00981E1C"/>
    <w:rsid w:val="00982F41"/>
    <w:rsid w:val="00983132"/>
    <w:rsid w:val="00983314"/>
    <w:rsid w:val="00983DF2"/>
    <w:rsid w:val="0098433A"/>
    <w:rsid w:val="00985675"/>
    <w:rsid w:val="00985939"/>
    <w:rsid w:val="0098637F"/>
    <w:rsid w:val="00986A9B"/>
    <w:rsid w:val="00986B9C"/>
    <w:rsid w:val="00987BAB"/>
    <w:rsid w:val="009906BF"/>
    <w:rsid w:val="009913F3"/>
    <w:rsid w:val="009914B7"/>
    <w:rsid w:val="00991DA1"/>
    <w:rsid w:val="009927F1"/>
    <w:rsid w:val="009936C4"/>
    <w:rsid w:val="009948ED"/>
    <w:rsid w:val="00995ADA"/>
    <w:rsid w:val="0099643A"/>
    <w:rsid w:val="0099662B"/>
    <w:rsid w:val="00997959"/>
    <w:rsid w:val="009A0BAF"/>
    <w:rsid w:val="009A1431"/>
    <w:rsid w:val="009A153D"/>
    <w:rsid w:val="009A1634"/>
    <w:rsid w:val="009A3A34"/>
    <w:rsid w:val="009A3B40"/>
    <w:rsid w:val="009A3FE2"/>
    <w:rsid w:val="009A400C"/>
    <w:rsid w:val="009A4B2C"/>
    <w:rsid w:val="009A5592"/>
    <w:rsid w:val="009A59BA"/>
    <w:rsid w:val="009A5C22"/>
    <w:rsid w:val="009A6417"/>
    <w:rsid w:val="009A705E"/>
    <w:rsid w:val="009A7711"/>
    <w:rsid w:val="009B01DF"/>
    <w:rsid w:val="009B020D"/>
    <w:rsid w:val="009B072F"/>
    <w:rsid w:val="009B07A1"/>
    <w:rsid w:val="009B09CC"/>
    <w:rsid w:val="009B173B"/>
    <w:rsid w:val="009B1A1A"/>
    <w:rsid w:val="009B24BF"/>
    <w:rsid w:val="009B2608"/>
    <w:rsid w:val="009B2A71"/>
    <w:rsid w:val="009B4027"/>
    <w:rsid w:val="009B4975"/>
    <w:rsid w:val="009B4C31"/>
    <w:rsid w:val="009B561F"/>
    <w:rsid w:val="009B5773"/>
    <w:rsid w:val="009B5D2D"/>
    <w:rsid w:val="009B7CD0"/>
    <w:rsid w:val="009C058F"/>
    <w:rsid w:val="009C1124"/>
    <w:rsid w:val="009C2B3E"/>
    <w:rsid w:val="009C2EA2"/>
    <w:rsid w:val="009C2FA7"/>
    <w:rsid w:val="009C3721"/>
    <w:rsid w:val="009C4141"/>
    <w:rsid w:val="009C4356"/>
    <w:rsid w:val="009C4B55"/>
    <w:rsid w:val="009C5FCC"/>
    <w:rsid w:val="009C5FF9"/>
    <w:rsid w:val="009C61A2"/>
    <w:rsid w:val="009C6DF6"/>
    <w:rsid w:val="009C6E92"/>
    <w:rsid w:val="009C7594"/>
    <w:rsid w:val="009D0003"/>
    <w:rsid w:val="009D04F7"/>
    <w:rsid w:val="009D1589"/>
    <w:rsid w:val="009D17B8"/>
    <w:rsid w:val="009D195F"/>
    <w:rsid w:val="009D2003"/>
    <w:rsid w:val="009D38C2"/>
    <w:rsid w:val="009D417F"/>
    <w:rsid w:val="009D45E5"/>
    <w:rsid w:val="009D4B85"/>
    <w:rsid w:val="009D535B"/>
    <w:rsid w:val="009D630B"/>
    <w:rsid w:val="009D6CAA"/>
    <w:rsid w:val="009D6CF6"/>
    <w:rsid w:val="009D6E69"/>
    <w:rsid w:val="009E02DC"/>
    <w:rsid w:val="009E0E08"/>
    <w:rsid w:val="009E2040"/>
    <w:rsid w:val="009E283A"/>
    <w:rsid w:val="009E3E45"/>
    <w:rsid w:val="009E49AE"/>
    <w:rsid w:val="009E4DC7"/>
    <w:rsid w:val="009E660A"/>
    <w:rsid w:val="009E6B64"/>
    <w:rsid w:val="009E72E5"/>
    <w:rsid w:val="009F46C8"/>
    <w:rsid w:val="009F4F2A"/>
    <w:rsid w:val="009F660B"/>
    <w:rsid w:val="009F671E"/>
    <w:rsid w:val="009F7ED1"/>
    <w:rsid w:val="00A01234"/>
    <w:rsid w:val="00A0149B"/>
    <w:rsid w:val="00A015BF"/>
    <w:rsid w:val="00A01607"/>
    <w:rsid w:val="00A018D4"/>
    <w:rsid w:val="00A01D5F"/>
    <w:rsid w:val="00A02F9D"/>
    <w:rsid w:val="00A03767"/>
    <w:rsid w:val="00A04834"/>
    <w:rsid w:val="00A05628"/>
    <w:rsid w:val="00A07DCF"/>
    <w:rsid w:val="00A12979"/>
    <w:rsid w:val="00A12B9B"/>
    <w:rsid w:val="00A131A9"/>
    <w:rsid w:val="00A1496E"/>
    <w:rsid w:val="00A14F84"/>
    <w:rsid w:val="00A16D6D"/>
    <w:rsid w:val="00A17C75"/>
    <w:rsid w:val="00A211C8"/>
    <w:rsid w:val="00A2121C"/>
    <w:rsid w:val="00A2121E"/>
    <w:rsid w:val="00A21EAC"/>
    <w:rsid w:val="00A21F63"/>
    <w:rsid w:val="00A221DE"/>
    <w:rsid w:val="00A22CB2"/>
    <w:rsid w:val="00A23138"/>
    <w:rsid w:val="00A235EC"/>
    <w:rsid w:val="00A23940"/>
    <w:rsid w:val="00A23ECC"/>
    <w:rsid w:val="00A24CD3"/>
    <w:rsid w:val="00A25461"/>
    <w:rsid w:val="00A25AB0"/>
    <w:rsid w:val="00A26367"/>
    <w:rsid w:val="00A2678A"/>
    <w:rsid w:val="00A269E1"/>
    <w:rsid w:val="00A27C1C"/>
    <w:rsid w:val="00A3026B"/>
    <w:rsid w:val="00A30F6A"/>
    <w:rsid w:val="00A32AEA"/>
    <w:rsid w:val="00A32F32"/>
    <w:rsid w:val="00A33E80"/>
    <w:rsid w:val="00A33EFE"/>
    <w:rsid w:val="00A40E97"/>
    <w:rsid w:val="00A4148D"/>
    <w:rsid w:val="00A419BD"/>
    <w:rsid w:val="00A43A33"/>
    <w:rsid w:val="00A44D0E"/>
    <w:rsid w:val="00A4621D"/>
    <w:rsid w:val="00A509FB"/>
    <w:rsid w:val="00A51C19"/>
    <w:rsid w:val="00A51E04"/>
    <w:rsid w:val="00A522B5"/>
    <w:rsid w:val="00A52C31"/>
    <w:rsid w:val="00A52F37"/>
    <w:rsid w:val="00A533C5"/>
    <w:rsid w:val="00A5388C"/>
    <w:rsid w:val="00A5397B"/>
    <w:rsid w:val="00A53BE1"/>
    <w:rsid w:val="00A54644"/>
    <w:rsid w:val="00A5557E"/>
    <w:rsid w:val="00A55921"/>
    <w:rsid w:val="00A560E3"/>
    <w:rsid w:val="00A5628F"/>
    <w:rsid w:val="00A564AF"/>
    <w:rsid w:val="00A566A8"/>
    <w:rsid w:val="00A56D0B"/>
    <w:rsid w:val="00A5775C"/>
    <w:rsid w:val="00A60ABF"/>
    <w:rsid w:val="00A60E72"/>
    <w:rsid w:val="00A61F0C"/>
    <w:rsid w:val="00A61FF0"/>
    <w:rsid w:val="00A62580"/>
    <w:rsid w:val="00A63AC9"/>
    <w:rsid w:val="00A6408B"/>
    <w:rsid w:val="00A64502"/>
    <w:rsid w:val="00A64B5F"/>
    <w:rsid w:val="00A64DE4"/>
    <w:rsid w:val="00A65EA0"/>
    <w:rsid w:val="00A66517"/>
    <w:rsid w:val="00A67B0E"/>
    <w:rsid w:val="00A67F50"/>
    <w:rsid w:val="00A718EF"/>
    <w:rsid w:val="00A72134"/>
    <w:rsid w:val="00A726A8"/>
    <w:rsid w:val="00A72951"/>
    <w:rsid w:val="00A73505"/>
    <w:rsid w:val="00A747FE"/>
    <w:rsid w:val="00A75E02"/>
    <w:rsid w:val="00A76E79"/>
    <w:rsid w:val="00A76F61"/>
    <w:rsid w:val="00A7771B"/>
    <w:rsid w:val="00A77B53"/>
    <w:rsid w:val="00A80948"/>
    <w:rsid w:val="00A811F1"/>
    <w:rsid w:val="00A82887"/>
    <w:rsid w:val="00A83010"/>
    <w:rsid w:val="00A83BF5"/>
    <w:rsid w:val="00A84CD1"/>
    <w:rsid w:val="00A85E2E"/>
    <w:rsid w:val="00A861F3"/>
    <w:rsid w:val="00A864F9"/>
    <w:rsid w:val="00A8728F"/>
    <w:rsid w:val="00A8756A"/>
    <w:rsid w:val="00A87F7D"/>
    <w:rsid w:val="00A87FF4"/>
    <w:rsid w:val="00A906B7"/>
    <w:rsid w:val="00A9070E"/>
    <w:rsid w:val="00A92DD4"/>
    <w:rsid w:val="00A93A23"/>
    <w:rsid w:val="00A944A6"/>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0B1"/>
    <w:rsid w:val="00AB5555"/>
    <w:rsid w:val="00AB55AD"/>
    <w:rsid w:val="00AB5D1B"/>
    <w:rsid w:val="00AB6918"/>
    <w:rsid w:val="00AB6B40"/>
    <w:rsid w:val="00AB740A"/>
    <w:rsid w:val="00AC1DA5"/>
    <w:rsid w:val="00AC216B"/>
    <w:rsid w:val="00AC26B1"/>
    <w:rsid w:val="00AC3FFF"/>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3C15"/>
    <w:rsid w:val="00AD4071"/>
    <w:rsid w:val="00AD44EA"/>
    <w:rsid w:val="00AD4782"/>
    <w:rsid w:val="00AD4941"/>
    <w:rsid w:val="00AD5236"/>
    <w:rsid w:val="00AD527D"/>
    <w:rsid w:val="00AD54E0"/>
    <w:rsid w:val="00AD758E"/>
    <w:rsid w:val="00AD7AB5"/>
    <w:rsid w:val="00AE08B7"/>
    <w:rsid w:val="00AE0DBA"/>
    <w:rsid w:val="00AE160F"/>
    <w:rsid w:val="00AE21DC"/>
    <w:rsid w:val="00AE239B"/>
    <w:rsid w:val="00AE2523"/>
    <w:rsid w:val="00AE25D2"/>
    <w:rsid w:val="00AE2B47"/>
    <w:rsid w:val="00AE2CAD"/>
    <w:rsid w:val="00AE3090"/>
    <w:rsid w:val="00AE380E"/>
    <w:rsid w:val="00AE3AAD"/>
    <w:rsid w:val="00AE4189"/>
    <w:rsid w:val="00AE4263"/>
    <w:rsid w:val="00AE503A"/>
    <w:rsid w:val="00AE68E2"/>
    <w:rsid w:val="00AF0157"/>
    <w:rsid w:val="00AF132C"/>
    <w:rsid w:val="00AF1CA1"/>
    <w:rsid w:val="00AF1FA2"/>
    <w:rsid w:val="00AF2ACF"/>
    <w:rsid w:val="00AF2EC7"/>
    <w:rsid w:val="00AF3A6E"/>
    <w:rsid w:val="00AF3AC0"/>
    <w:rsid w:val="00AF4F4A"/>
    <w:rsid w:val="00B00C24"/>
    <w:rsid w:val="00B00F93"/>
    <w:rsid w:val="00B01BBE"/>
    <w:rsid w:val="00B03F92"/>
    <w:rsid w:val="00B053AF"/>
    <w:rsid w:val="00B055D8"/>
    <w:rsid w:val="00B06CD6"/>
    <w:rsid w:val="00B06EBC"/>
    <w:rsid w:val="00B10721"/>
    <w:rsid w:val="00B11D2D"/>
    <w:rsid w:val="00B123F0"/>
    <w:rsid w:val="00B12891"/>
    <w:rsid w:val="00B146C1"/>
    <w:rsid w:val="00B146E7"/>
    <w:rsid w:val="00B156DF"/>
    <w:rsid w:val="00B15ABB"/>
    <w:rsid w:val="00B16973"/>
    <w:rsid w:val="00B2036A"/>
    <w:rsid w:val="00B207B2"/>
    <w:rsid w:val="00B21057"/>
    <w:rsid w:val="00B21AC2"/>
    <w:rsid w:val="00B2202B"/>
    <w:rsid w:val="00B22337"/>
    <w:rsid w:val="00B2246E"/>
    <w:rsid w:val="00B23422"/>
    <w:rsid w:val="00B24948"/>
    <w:rsid w:val="00B24CBD"/>
    <w:rsid w:val="00B25CA3"/>
    <w:rsid w:val="00B26C46"/>
    <w:rsid w:val="00B30028"/>
    <w:rsid w:val="00B31E8D"/>
    <w:rsid w:val="00B32A9E"/>
    <w:rsid w:val="00B3313B"/>
    <w:rsid w:val="00B331E8"/>
    <w:rsid w:val="00B331EA"/>
    <w:rsid w:val="00B34732"/>
    <w:rsid w:val="00B353B8"/>
    <w:rsid w:val="00B35C56"/>
    <w:rsid w:val="00B36F17"/>
    <w:rsid w:val="00B372ED"/>
    <w:rsid w:val="00B40603"/>
    <w:rsid w:val="00B40AF6"/>
    <w:rsid w:val="00B41071"/>
    <w:rsid w:val="00B418E1"/>
    <w:rsid w:val="00B425C0"/>
    <w:rsid w:val="00B42DB6"/>
    <w:rsid w:val="00B43F7F"/>
    <w:rsid w:val="00B46957"/>
    <w:rsid w:val="00B47114"/>
    <w:rsid w:val="00B47B54"/>
    <w:rsid w:val="00B50E99"/>
    <w:rsid w:val="00B51926"/>
    <w:rsid w:val="00B51F9A"/>
    <w:rsid w:val="00B52378"/>
    <w:rsid w:val="00B54DA7"/>
    <w:rsid w:val="00B600C6"/>
    <w:rsid w:val="00B60167"/>
    <w:rsid w:val="00B60FC0"/>
    <w:rsid w:val="00B61665"/>
    <w:rsid w:val="00B63270"/>
    <w:rsid w:val="00B63528"/>
    <w:rsid w:val="00B63DAF"/>
    <w:rsid w:val="00B63E98"/>
    <w:rsid w:val="00B64158"/>
    <w:rsid w:val="00B65754"/>
    <w:rsid w:val="00B661AA"/>
    <w:rsid w:val="00B66242"/>
    <w:rsid w:val="00B670D3"/>
    <w:rsid w:val="00B67958"/>
    <w:rsid w:val="00B67D0A"/>
    <w:rsid w:val="00B701D1"/>
    <w:rsid w:val="00B716BB"/>
    <w:rsid w:val="00B716FD"/>
    <w:rsid w:val="00B72EF7"/>
    <w:rsid w:val="00B734C2"/>
    <w:rsid w:val="00B73BDA"/>
    <w:rsid w:val="00B74053"/>
    <w:rsid w:val="00B753FC"/>
    <w:rsid w:val="00B765A0"/>
    <w:rsid w:val="00B76C02"/>
    <w:rsid w:val="00B77BD2"/>
    <w:rsid w:val="00B814CB"/>
    <w:rsid w:val="00B81B6A"/>
    <w:rsid w:val="00B820F4"/>
    <w:rsid w:val="00B835E0"/>
    <w:rsid w:val="00B8396D"/>
    <w:rsid w:val="00B84AB0"/>
    <w:rsid w:val="00B90331"/>
    <w:rsid w:val="00B903ED"/>
    <w:rsid w:val="00B90B2D"/>
    <w:rsid w:val="00B91449"/>
    <w:rsid w:val="00B935A1"/>
    <w:rsid w:val="00B94AFE"/>
    <w:rsid w:val="00B95ABC"/>
    <w:rsid w:val="00B95DAD"/>
    <w:rsid w:val="00B96C0C"/>
    <w:rsid w:val="00B9734D"/>
    <w:rsid w:val="00B97732"/>
    <w:rsid w:val="00BA27F4"/>
    <w:rsid w:val="00BA2B60"/>
    <w:rsid w:val="00BA2E40"/>
    <w:rsid w:val="00BA3CB7"/>
    <w:rsid w:val="00BA41DE"/>
    <w:rsid w:val="00BA556C"/>
    <w:rsid w:val="00BB0F31"/>
    <w:rsid w:val="00BB15AB"/>
    <w:rsid w:val="00BB189B"/>
    <w:rsid w:val="00BB1D21"/>
    <w:rsid w:val="00BB2E51"/>
    <w:rsid w:val="00BB347F"/>
    <w:rsid w:val="00BB4BEA"/>
    <w:rsid w:val="00BB4C1A"/>
    <w:rsid w:val="00BB50AB"/>
    <w:rsid w:val="00BB6664"/>
    <w:rsid w:val="00BB6FA5"/>
    <w:rsid w:val="00BC01FC"/>
    <w:rsid w:val="00BC1F79"/>
    <w:rsid w:val="00BC2201"/>
    <w:rsid w:val="00BC2640"/>
    <w:rsid w:val="00BC3C7A"/>
    <w:rsid w:val="00BC7DC6"/>
    <w:rsid w:val="00BD002E"/>
    <w:rsid w:val="00BD06D7"/>
    <w:rsid w:val="00BD1039"/>
    <w:rsid w:val="00BD109B"/>
    <w:rsid w:val="00BD13B5"/>
    <w:rsid w:val="00BD2EFC"/>
    <w:rsid w:val="00BD340E"/>
    <w:rsid w:val="00BD60AD"/>
    <w:rsid w:val="00BD6C02"/>
    <w:rsid w:val="00BE0138"/>
    <w:rsid w:val="00BE1244"/>
    <w:rsid w:val="00BE165D"/>
    <w:rsid w:val="00BE1ADB"/>
    <w:rsid w:val="00BE2394"/>
    <w:rsid w:val="00BE2702"/>
    <w:rsid w:val="00BE2F82"/>
    <w:rsid w:val="00BE3F3D"/>
    <w:rsid w:val="00BE4326"/>
    <w:rsid w:val="00BE5505"/>
    <w:rsid w:val="00BE56E9"/>
    <w:rsid w:val="00BE5F4F"/>
    <w:rsid w:val="00BE60DB"/>
    <w:rsid w:val="00BF0191"/>
    <w:rsid w:val="00BF13EC"/>
    <w:rsid w:val="00BF1C07"/>
    <w:rsid w:val="00BF3DEE"/>
    <w:rsid w:val="00BF4855"/>
    <w:rsid w:val="00BF54AC"/>
    <w:rsid w:val="00BF54BD"/>
    <w:rsid w:val="00BF6B8E"/>
    <w:rsid w:val="00C01623"/>
    <w:rsid w:val="00C01E63"/>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B11"/>
    <w:rsid w:val="00C16BE0"/>
    <w:rsid w:val="00C20FA5"/>
    <w:rsid w:val="00C21877"/>
    <w:rsid w:val="00C219AF"/>
    <w:rsid w:val="00C21C39"/>
    <w:rsid w:val="00C2325C"/>
    <w:rsid w:val="00C239ED"/>
    <w:rsid w:val="00C24D9D"/>
    <w:rsid w:val="00C25CF3"/>
    <w:rsid w:val="00C263E9"/>
    <w:rsid w:val="00C2775A"/>
    <w:rsid w:val="00C3063A"/>
    <w:rsid w:val="00C30BAD"/>
    <w:rsid w:val="00C31E8F"/>
    <w:rsid w:val="00C335DA"/>
    <w:rsid w:val="00C33D3E"/>
    <w:rsid w:val="00C362E0"/>
    <w:rsid w:val="00C36D7E"/>
    <w:rsid w:val="00C36ED4"/>
    <w:rsid w:val="00C376CC"/>
    <w:rsid w:val="00C400F7"/>
    <w:rsid w:val="00C40EC6"/>
    <w:rsid w:val="00C419AD"/>
    <w:rsid w:val="00C41B5F"/>
    <w:rsid w:val="00C42392"/>
    <w:rsid w:val="00C437BA"/>
    <w:rsid w:val="00C43B8D"/>
    <w:rsid w:val="00C44395"/>
    <w:rsid w:val="00C443B3"/>
    <w:rsid w:val="00C45445"/>
    <w:rsid w:val="00C45CE8"/>
    <w:rsid w:val="00C464A1"/>
    <w:rsid w:val="00C46F06"/>
    <w:rsid w:val="00C47DA6"/>
    <w:rsid w:val="00C50039"/>
    <w:rsid w:val="00C50986"/>
    <w:rsid w:val="00C50ABF"/>
    <w:rsid w:val="00C50EF2"/>
    <w:rsid w:val="00C51256"/>
    <w:rsid w:val="00C51566"/>
    <w:rsid w:val="00C516B7"/>
    <w:rsid w:val="00C516C4"/>
    <w:rsid w:val="00C51C1F"/>
    <w:rsid w:val="00C52433"/>
    <w:rsid w:val="00C52D62"/>
    <w:rsid w:val="00C52EF3"/>
    <w:rsid w:val="00C532EA"/>
    <w:rsid w:val="00C533D4"/>
    <w:rsid w:val="00C53A4C"/>
    <w:rsid w:val="00C5448D"/>
    <w:rsid w:val="00C5477F"/>
    <w:rsid w:val="00C547B7"/>
    <w:rsid w:val="00C5503B"/>
    <w:rsid w:val="00C55A32"/>
    <w:rsid w:val="00C564F2"/>
    <w:rsid w:val="00C56F11"/>
    <w:rsid w:val="00C61F3A"/>
    <w:rsid w:val="00C62237"/>
    <w:rsid w:val="00C628D6"/>
    <w:rsid w:val="00C629CB"/>
    <w:rsid w:val="00C62B75"/>
    <w:rsid w:val="00C6370E"/>
    <w:rsid w:val="00C651FA"/>
    <w:rsid w:val="00C65549"/>
    <w:rsid w:val="00C657B5"/>
    <w:rsid w:val="00C661E1"/>
    <w:rsid w:val="00C66686"/>
    <w:rsid w:val="00C678C4"/>
    <w:rsid w:val="00C70F04"/>
    <w:rsid w:val="00C71215"/>
    <w:rsid w:val="00C7216B"/>
    <w:rsid w:val="00C727BE"/>
    <w:rsid w:val="00C732A9"/>
    <w:rsid w:val="00C73448"/>
    <w:rsid w:val="00C73E2E"/>
    <w:rsid w:val="00C7442E"/>
    <w:rsid w:val="00C74546"/>
    <w:rsid w:val="00C748E2"/>
    <w:rsid w:val="00C7541F"/>
    <w:rsid w:val="00C7769A"/>
    <w:rsid w:val="00C7776C"/>
    <w:rsid w:val="00C77BA2"/>
    <w:rsid w:val="00C80A24"/>
    <w:rsid w:val="00C8398D"/>
    <w:rsid w:val="00C84ABF"/>
    <w:rsid w:val="00C84BC2"/>
    <w:rsid w:val="00C85139"/>
    <w:rsid w:val="00C85657"/>
    <w:rsid w:val="00C87FEB"/>
    <w:rsid w:val="00C90614"/>
    <w:rsid w:val="00C90A34"/>
    <w:rsid w:val="00C91C88"/>
    <w:rsid w:val="00C91F57"/>
    <w:rsid w:val="00C92C27"/>
    <w:rsid w:val="00C939C3"/>
    <w:rsid w:val="00C94228"/>
    <w:rsid w:val="00C96D56"/>
    <w:rsid w:val="00C977E6"/>
    <w:rsid w:val="00CA0020"/>
    <w:rsid w:val="00CA0B2E"/>
    <w:rsid w:val="00CA18CA"/>
    <w:rsid w:val="00CA2557"/>
    <w:rsid w:val="00CA454F"/>
    <w:rsid w:val="00CA5413"/>
    <w:rsid w:val="00CA5674"/>
    <w:rsid w:val="00CA5BDA"/>
    <w:rsid w:val="00CA5C1A"/>
    <w:rsid w:val="00CA633F"/>
    <w:rsid w:val="00CA641E"/>
    <w:rsid w:val="00CA7558"/>
    <w:rsid w:val="00CA785F"/>
    <w:rsid w:val="00CA792A"/>
    <w:rsid w:val="00CA7949"/>
    <w:rsid w:val="00CB0C6E"/>
    <w:rsid w:val="00CB0C89"/>
    <w:rsid w:val="00CB1402"/>
    <w:rsid w:val="00CB226B"/>
    <w:rsid w:val="00CB229B"/>
    <w:rsid w:val="00CB33B4"/>
    <w:rsid w:val="00CB34CE"/>
    <w:rsid w:val="00CB3A2B"/>
    <w:rsid w:val="00CB3D93"/>
    <w:rsid w:val="00CB4441"/>
    <w:rsid w:val="00CB4B1A"/>
    <w:rsid w:val="00CB4E1F"/>
    <w:rsid w:val="00CB6B84"/>
    <w:rsid w:val="00CB7E7A"/>
    <w:rsid w:val="00CC152E"/>
    <w:rsid w:val="00CC2493"/>
    <w:rsid w:val="00CC256E"/>
    <w:rsid w:val="00CC3222"/>
    <w:rsid w:val="00CC35F1"/>
    <w:rsid w:val="00CC35FF"/>
    <w:rsid w:val="00CD0E6E"/>
    <w:rsid w:val="00CD23AE"/>
    <w:rsid w:val="00CD27DF"/>
    <w:rsid w:val="00CD2D8A"/>
    <w:rsid w:val="00CD3BAC"/>
    <w:rsid w:val="00CD3FF2"/>
    <w:rsid w:val="00CD4A65"/>
    <w:rsid w:val="00CD531F"/>
    <w:rsid w:val="00CD68B1"/>
    <w:rsid w:val="00CD6FA3"/>
    <w:rsid w:val="00CD715B"/>
    <w:rsid w:val="00CE0FB7"/>
    <w:rsid w:val="00CE1AAC"/>
    <w:rsid w:val="00CE2184"/>
    <w:rsid w:val="00CE3B7F"/>
    <w:rsid w:val="00CE3FA2"/>
    <w:rsid w:val="00CE41A0"/>
    <w:rsid w:val="00CE4958"/>
    <w:rsid w:val="00CE68E2"/>
    <w:rsid w:val="00CE706E"/>
    <w:rsid w:val="00CE70B1"/>
    <w:rsid w:val="00CE7AE4"/>
    <w:rsid w:val="00CF0A3A"/>
    <w:rsid w:val="00CF0A4C"/>
    <w:rsid w:val="00CF150A"/>
    <w:rsid w:val="00CF2225"/>
    <w:rsid w:val="00CF25E7"/>
    <w:rsid w:val="00CF3C77"/>
    <w:rsid w:val="00CF45A2"/>
    <w:rsid w:val="00CF52E7"/>
    <w:rsid w:val="00CF64B5"/>
    <w:rsid w:val="00CF71DF"/>
    <w:rsid w:val="00CF7853"/>
    <w:rsid w:val="00D004ED"/>
    <w:rsid w:val="00D015E2"/>
    <w:rsid w:val="00D0260F"/>
    <w:rsid w:val="00D03708"/>
    <w:rsid w:val="00D03C7B"/>
    <w:rsid w:val="00D06776"/>
    <w:rsid w:val="00D06E46"/>
    <w:rsid w:val="00D06F95"/>
    <w:rsid w:val="00D078F4"/>
    <w:rsid w:val="00D1158C"/>
    <w:rsid w:val="00D11600"/>
    <w:rsid w:val="00D119A2"/>
    <w:rsid w:val="00D11F76"/>
    <w:rsid w:val="00D12E31"/>
    <w:rsid w:val="00D137F9"/>
    <w:rsid w:val="00D138BD"/>
    <w:rsid w:val="00D1458C"/>
    <w:rsid w:val="00D1620E"/>
    <w:rsid w:val="00D16867"/>
    <w:rsid w:val="00D16EEC"/>
    <w:rsid w:val="00D2047A"/>
    <w:rsid w:val="00D20631"/>
    <w:rsid w:val="00D207FC"/>
    <w:rsid w:val="00D21258"/>
    <w:rsid w:val="00D21C4F"/>
    <w:rsid w:val="00D2246C"/>
    <w:rsid w:val="00D2260B"/>
    <w:rsid w:val="00D22744"/>
    <w:rsid w:val="00D22D49"/>
    <w:rsid w:val="00D23930"/>
    <w:rsid w:val="00D23A23"/>
    <w:rsid w:val="00D24D8A"/>
    <w:rsid w:val="00D24DA4"/>
    <w:rsid w:val="00D25235"/>
    <w:rsid w:val="00D25383"/>
    <w:rsid w:val="00D25670"/>
    <w:rsid w:val="00D301FF"/>
    <w:rsid w:val="00D3257F"/>
    <w:rsid w:val="00D326AC"/>
    <w:rsid w:val="00D340E2"/>
    <w:rsid w:val="00D36887"/>
    <w:rsid w:val="00D36C27"/>
    <w:rsid w:val="00D37563"/>
    <w:rsid w:val="00D379EB"/>
    <w:rsid w:val="00D400B8"/>
    <w:rsid w:val="00D4022C"/>
    <w:rsid w:val="00D41023"/>
    <w:rsid w:val="00D4181C"/>
    <w:rsid w:val="00D41C6C"/>
    <w:rsid w:val="00D42465"/>
    <w:rsid w:val="00D42E5B"/>
    <w:rsid w:val="00D439D1"/>
    <w:rsid w:val="00D43C68"/>
    <w:rsid w:val="00D444B2"/>
    <w:rsid w:val="00D453E4"/>
    <w:rsid w:val="00D454C9"/>
    <w:rsid w:val="00D45EE8"/>
    <w:rsid w:val="00D47226"/>
    <w:rsid w:val="00D50B21"/>
    <w:rsid w:val="00D51349"/>
    <w:rsid w:val="00D51F47"/>
    <w:rsid w:val="00D527AF"/>
    <w:rsid w:val="00D529E1"/>
    <w:rsid w:val="00D534C2"/>
    <w:rsid w:val="00D5410F"/>
    <w:rsid w:val="00D564DF"/>
    <w:rsid w:val="00D56A7D"/>
    <w:rsid w:val="00D576DD"/>
    <w:rsid w:val="00D57CB4"/>
    <w:rsid w:val="00D61477"/>
    <w:rsid w:val="00D619E2"/>
    <w:rsid w:val="00D62036"/>
    <w:rsid w:val="00D620CC"/>
    <w:rsid w:val="00D634B8"/>
    <w:rsid w:val="00D634D2"/>
    <w:rsid w:val="00D63EF3"/>
    <w:rsid w:val="00D64441"/>
    <w:rsid w:val="00D65497"/>
    <w:rsid w:val="00D654DA"/>
    <w:rsid w:val="00D6553E"/>
    <w:rsid w:val="00D6609E"/>
    <w:rsid w:val="00D67A9F"/>
    <w:rsid w:val="00D67C20"/>
    <w:rsid w:val="00D70C1B"/>
    <w:rsid w:val="00D70E5C"/>
    <w:rsid w:val="00D7146C"/>
    <w:rsid w:val="00D718CD"/>
    <w:rsid w:val="00D7205D"/>
    <w:rsid w:val="00D7416F"/>
    <w:rsid w:val="00D74787"/>
    <w:rsid w:val="00D755F2"/>
    <w:rsid w:val="00D762AC"/>
    <w:rsid w:val="00D775E7"/>
    <w:rsid w:val="00D77B9E"/>
    <w:rsid w:val="00D806AF"/>
    <w:rsid w:val="00D81CA9"/>
    <w:rsid w:val="00D82634"/>
    <w:rsid w:val="00D839D8"/>
    <w:rsid w:val="00D83F9E"/>
    <w:rsid w:val="00D840C2"/>
    <w:rsid w:val="00D84562"/>
    <w:rsid w:val="00D85C16"/>
    <w:rsid w:val="00D86169"/>
    <w:rsid w:val="00D8732E"/>
    <w:rsid w:val="00D91294"/>
    <w:rsid w:val="00D9186A"/>
    <w:rsid w:val="00D92B2B"/>
    <w:rsid w:val="00D92D47"/>
    <w:rsid w:val="00D93C80"/>
    <w:rsid w:val="00D94213"/>
    <w:rsid w:val="00D94BEB"/>
    <w:rsid w:val="00D94EA5"/>
    <w:rsid w:val="00D95F32"/>
    <w:rsid w:val="00DA01F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498F"/>
    <w:rsid w:val="00DB56DD"/>
    <w:rsid w:val="00DB5F9C"/>
    <w:rsid w:val="00DB5FD0"/>
    <w:rsid w:val="00DB606C"/>
    <w:rsid w:val="00DB7395"/>
    <w:rsid w:val="00DB75C2"/>
    <w:rsid w:val="00DB7E2C"/>
    <w:rsid w:val="00DC027B"/>
    <w:rsid w:val="00DC09B9"/>
    <w:rsid w:val="00DC0A64"/>
    <w:rsid w:val="00DC0B91"/>
    <w:rsid w:val="00DC0FC4"/>
    <w:rsid w:val="00DC1B9A"/>
    <w:rsid w:val="00DC2344"/>
    <w:rsid w:val="00DC25C8"/>
    <w:rsid w:val="00DC28E0"/>
    <w:rsid w:val="00DC2E4F"/>
    <w:rsid w:val="00DC384C"/>
    <w:rsid w:val="00DC40C4"/>
    <w:rsid w:val="00DC4579"/>
    <w:rsid w:val="00DC45DE"/>
    <w:rsid w:val="00DC4AFD"/>
    <w:rsid w:val="00DC4D87"/>
    <w:rsid w:val="00DC4D8A"/>
    <w:rsid w:val="00DC6DF6"/>
    <w:rsid w:val="00DC7BFE"/>
    <w:rsid w:val="00DD0060"/>
    <w:rsid w:val="00DD08C7"/>
    <w:rsid w:val="00DD1581"/>
    <w:rsid w:val="00DD1A10"/>
    <w:rsid w:val="00DD200D"/>
    <w:rsid w:val="00DD2990"/>
    <w:rsid w:val="00DD2FE9"/>
    <w:rsid w:val="00DD363D"/>
    <w:rsid w:val="00DD394B"/>
    <w:rsid w:val="00DD3A7E"/>
    <w:rsid w:val="00DD434E"/>
    <w:rsid w:val="00DD4402"/>
    <w:rsid w:val="00DD52E5"/>
    <w:rsid w:val="00DD60D0"/>
    <w:rsid w:val="00DD6200"/>
    <w:rsid w:val="00DD686C"/>
    <w:rsid w:val="00DD6E86"/>
    <w:rsid w:val="00DD7B99"/>
    <w:rsid w:val="00DE0E5D"/>
    <w:rsid w:val="00DE447F"/>
    <w:rsid w:val="00DE48F0"/>
    <w:rsid w:val="00DE4A77"/>
    <w:rsid w:val="00DE68EE"/>
    <w:rsid w:val="00DE6D24"/>
    <w:rsid w:val="00DE7285"/>
    <w:rsid w:val="00DE7C40"/>
    <w:rsid w:val="00DF0EA5"/>
    <w:rsid w:val="00DF1F1D"/>
    <w:rsid w:val="00DF23A5"/>
    <w:rsid w:val="00DF4C6E"/>
    <w:rsid w:val="00DF5D29"/>
    <w:rsid w:val="00DF6666"/>
    <w:rsid w:val="00DF745E"/>
    <w:rsid w:val="00DF762E"/>
    <w:rsid w:val="00E0044E"/>
    <w:rsid w:val="00E00816"/>
    <w:rsid w:val="00E0239F"/>
    <w:rsid w:val="00E0267B"/>
    <w:rsid w:val="00E03B83"/>
    <w:rsid w:val="00E04441"/>
    <w:rsid w:val="00E05F03"/>
    <w:rsid w:val="00E06370"/>
    <w:rsid w:val="00E06B7B"/>
    <w:rsid w:val="00E06E20"/>
    <w:rsid w:val="00E071FD"/>
    <w:rsid w:val="00E073D9"/>
    <w:rsid w:val="00E07DD9"/>
    <w:rsid w:val="00E102F8"/>
    <w:rsid w:val="00E12FCF"/>
    <w:rsid w:val="00E13273"/>
    <w:rsid w:val="00E13379"/>
    <w:rsid w:val="00E139EE"/>
    <w:rsid w:val="00E13C28"/>
    <w:rsid w:val="00E14D83"/>
    <w:rsid w:val="00E14FA6"/>
    <w:rsid w:val="00E15A0D"/>
    <w:rsid w:val="00E16640"/>
    <w:rsid w:val="00E170FF"/>
    <w:rsid w:val="00E1740F"/>
    <w:rsid w:val="00E17706"/>
    <w:rsid w:val="00E17DD8"/>
    <w:rsid w:val="00E200CF"/>
    <w:rsid w:val="00E228EB"/>
    <w:rsid w:val="00E24287"/>
    <w:rsid w:val="00E30092"/>
    <w:rsid w:val="00E31367"/>
    <w:rsid w:val="00E3181C"/>
    <w:rsid w:val="00E32EF3"/>
    <w:rsid w:val="00E33E21"/>
    <w:rsid w:val="00E34B72"/>
    <w:rsid w:val="00E34BC4"/>
    <w:rsid w:val="00E3540C"/>
    <w:rsid w:val="00E36187"/>
    <w:rsid w:val="00E36332"/>
    <w:rsid w:val="00E36C9B"/>
    <w:rsid w:val="00E37638"/>
    <w:rsid w:val="00E37E9D"/>
    <w:rsid w:val="00E41B71"/>
    <w:rsid w:val="00E41BCD"/>
    <w:rsid w:val="00E4207E"/>
    <w:rsid w:val="00E42569"/>
    <w:rsid w:val="00E434A0"/>
    <w:rsid w:val="00E44D30"/>
    <w:rsid w:val="00E4597F"/>
    <w:rsid w:val="00E46CB7"/>
    <w:rsid w:val="00E4723D"/>
    <w:rsid w:val="00E5077C"/>
    <w:rsid w:val="00E50EC8"/>
    <w:rsid w:val="00E5159B"/>
    <w:rsid w:val="00E515C6"/>
    <w:rsid w:val="00E516CA"/>
    <w:rsid w:val="00E52E0D"/>
    <w:rsid w:val="00E52FE2"/>
    <w:rsid w:val="00E530D6"/>
    <w:rsid w:val="00E54629"/>
    <w:rsid w:val="00E54715"/>
    <w:rsid w:val="00E54D6B"/>
    <w:rsid w:val="00E54E6F"/>
    <w:rsid w:val="00E55338"/>
    <w:rsid w:val="00E569AF"/>
    <w:rsid w:val="00E5774E"/>
    <w:rsid w:val="00E57EEB"/>
    <w:rsid w:val="00E60318"/>
    <w:rsid w:val="00E60BA8"/>
    <w:rsid w:val="00E61E25"/>
    <w:rsid w:val="00E61E28"/>
    <w:rsid w:val="00E622B0"/>
    <w:rsid w:val="00E628E4"/>
    <w:rsid w:val="00E647F7"/>
    <w:rsid w:val="00E65FF5"/>
    <w:rsid w:val="00E66857"/>
    <w:rsid w:val="00E66D66"/>
    <w:rsid w:val="00E67556"/>
    <w:rsid w:val="00E719A4"/>
    <w:rsid w:val="00E7252F"/>
    <w:rsid w:val="00E72960"/>
    <w:rsid w:val="00E73E49"/>
    <w:rsid w:val="00E73FC2"/>
    <w:rsid w:val="00E74481"/>
    <w:rsid w:val="00E74517"/>
    <w:rsid w:val="00E755D7"/>
    <w:rsid w:val="00E7566D"/>
    <w:rsid w:val="00E75745"/>
    <w:rsid w:val="00E75A29"/>
    <w:rsid w:val="00E76E91"/>
    <w:rsid w:val="00E774B4"/>
    <w:rsid w:val="00E778F5"/>
    <w:rsid w:val="00E80E7C"/>
    <w:rsid w:val="00E80ECE"/>
    <w:rsid w:val="00E81779"/>
    <w:rsid w:val="00E81793"/>
    <w:rsid w:val="00E8205B"/>
    <w:rsid w:val="00E82444"/>
    <w:rsid w:val="00E8341C"/>
    <w:rsid w:val="00E84E88"/>
    <w:rsid w:val="00E85D80"/>
    <w:rsid w:val="00E8602B"/>
    <w:rsid w:val="00E86B5F"/>
    <w:rsid w:val="00E87D05"/>
    <w:rsid w:val="00E91F96"/>
    <w:rsid w:val="00E92E99"/>
    <w:rsid w:val="00E95D02"/>
    <w:rsid w:val="00E95E16"/>
    <w:rsid w:val="00E968FD"/>
    <w:rsid w:val="00E96D55"/>
    <w:rsid w:val="00E97993"/>
    <w:rsid w:val="00EA0D5D"/>
    <w:rsid w:val="00EA1192"/>
    <w:rsid w:val="00EA153F"/>
    <w:rsid w:val="00EA2788"/>
    <w:rsid w:val="00EA2C6E"/>
    <w:rsid w:val="00EA2E97"/>
    <w:rsid w:val="00EA2F9A"/>
    <w:rsid w:val="00EA4964"/>
    <w:rsid w:val="00EA4996"/>
    <w:rsid w:val="00EA4F1A"/>
    <w:rsid w:val="00EB02DE"/>
    <w:rsid w:val="00EB0A07"/>
    <w:rsid w:val="00EB1B69"/>
    <w:rsid w:val="00EB1C78"/>
    <w:rsid w:val="00EB21F1"/>
    <w:rsid w:val="00EB263E"/>
    <w:rsid w:val="00EB3B46"/>
    <w:rsid w:val="00EB4F08"/>
    <w:rsid w:val="00EB573C"/>
    <w:rsid w:val="00EB6B96"/>
    <w:rsid w:val="00EC0ECE"/>
    <w:rsid w:val="00EC2E07"/>
    <w:rsid w:val="00EC43C7"/>
    <w:rsid w:val="00EC465D"/>
    <w:rsid w:val="00EC5C89"/>
    <w:rsid w:val="00EC66D2"/>
    <w:rsid w:val="00EC67E7"/>
    <w:rsid w:val="00ED0A1B"/>
    <w:rsid w:val="00ED21BC"/>
    <w:rsid w:val="00ED2FEC"/>
    <w:rsid w:val="00ED3F67"/>
    <w:rsid w:val="00ED440A"/>
    <w:rsid w:val="00ED6D44"/>
    <w:rsid w:val="00ED71BB"/>
    <w:rsid w:val="00ED7971"/>
    <w:rsid w:val="00EE0748"/>
    <w:rsid w:val="00EE1136"/>
    <w:rsid w:val="00EE1C0C"/>
    <w:rsid w:val="00EE29A0"/>
    <w:rsid w:val="00EE2CEA"/>
    <w:rsid w:val="00EE2D70"/>
    <w:rsid w:val="00EE3365"/>
    <w:rsid w:val="00EE3EE2"/>
    <w:rsid w:val="00EE44AA"/>
    <w:rsid w:val="00EE48DF"/>
    <w:rsid w:val="00EE496B"/>
    <w:rsid w:val="00EE4AB3"/>
    <w:rsid w:val="00EE4BF3"/>
    <w:rsid w:val="00EE53C3"/>
    <w:rsid w:val="00EE7405"/>
    <w:rsid w:val="00EF033E"/>
    <w:rsid w:val="00EF06EC"/>
    <w:rsid w:val="00EF14FF"/>
    <w:rsid w:val="00EF2BFE"/>
    <w:rsid w:val="00EF2D85"/>
    <w:rsid w:val="00EF402C"/>
    <w:rsid w:val="00EF45E0"/>
    <w:rsid w:val="00EF4E6F"/>
    <w:rsid w:val="00EF5C82"/>
    <w:rsid w:val="00EF6F9B"/>
    <w:rsid w:val="00EF7A15"/>
    <w:rsid w:val="00F006C3"/>
    <w:rsid w:val="00F00B62"/>
    <w:rsid w:val="00F01F8C"/>
    <w:rsid w:val="00F035A6"/>
    <w:rsid w:val="00F04AD0"/>
    <w:rsid w:val="00F10033"/>
    <w:rsid w:val="00F10848"/>
    <w:rsid w:val="00F10B68"/>
    <w:rsid w:val="00F11F55"/>
    <w:rsid w:val="00F12DEC"/>
    <w:rsid w:val="00F13151"/>
    <w:rsid w:val="00F15523"/>
    <w:rsid w:val="00F16391"/>
    <w:rsid w:val="00F16A89"/>
    <w:rsid w:val="00F2062B"/>
    <w:rsid w:val="00F21A18"/>
    <w:rsid w:val="00F21E61"/>
    <w:rsid w:val="00F220EA"/>
    <w:rsid w:val="00F222CD"/>
    <w:rsid w:val="00F228F4"/>
    <w:rsid w:val="00F24A1E"/>
    <w:rsid w:val="00F24EA4"/>
    <w:rsid w:val="00F2625A"/>
    <w:rsid w:val="00F31A03"/>
    <w:rsid w:val="00F3283C"/>
    <w:rsid w:val="00F32D0F"/>
    <w:rsid w:val="00F332D1"/>
    <w:rsid w:val="00F343F0"/>
    <w:rsid w:val="00F34620"/>
    <w:rsid w:val="00F34AAB"/>
    <w:rsid w:val="00F34C4D"/>
    <w:rsid w:val="00F350CF"/>
    <w:rsid w:val="00F35582"/>
    <w:rsid w:val="00F37004"/>
    <w:rsid w:val="00F376A1"/>
    <w:rsid w:val="00F37B8E"/>
    <w:rsid w:val="00F41746"/>
    <w:rsid w:val="00F41E79"/>
    <w:rsid w:val="00F4250A"/>
    <w:rsid w:val="00F42981"/>
    <w:rsid w:val="00F4315F"/>
    <w:rsid w:val="00F445F6"/>
    <w:rsid w:val="00F4512F"/>
    <w:rsid w:val="00F45763"/>
    <w:rsid w:val="00F45BCF"/>
    <w:rsid w:val="00F45BEA"/>
    <w:rsid w:val="00F45CFE"/>
    <w:rsid w:val="00F46877"/>
    <w:rsid w:val="00F47F3E"/>
    <w:rsid w:val="00F51819"/>
    <w:rsid w:val="00F530E6"/>
    <w:rsid w:val="00F532C7"/>
    <w:rsid w:val="00F53E6D"/>
    <w:rsid w:val="00F54EE5"/>
    <w:rsid w:val="00F55358"/>
    <w:rsid w:val="00F5603C"/>
    <w:rsid w:val="00F5605C"/>
    <w:rsid w:val="00F564B9"/>
    <w:rsid w:val="00F570D6"/>
    <w:rsid w:val="00F57909"/>
    <w:rsid w:val="00F609F4"/>
    <w:rsid w:val="00F612D6"/>
    <w:rsid w:val="00F63400"/>
    <w:rsid w:val="00F636C6"/>
    <w:rsid w:val="00F6433D"/>
    <w:rsid w:val="00F6573E"/>
    <w:rsid w:val="00F662EB"/>
    <w:rsid w:val="00F67606"/>
    <w:rsid w:val="00F70327"/>
    <w:rsid w:val="00F70FEF"/>
    <w:rsid w:val="00F72FA8"/>
    <w:rsid w:val="00F7524D"/>
    <w:rsid w:val="00F75415"/>
    <w:rsid w:val="00F773F9"/>
    <w:rsid w:val="00F8101C"/>
    <w:rsid w:val="00F81340"/>
    <w:rsid w:val="00F817B9"/>
    <w:rsid w:val="00F81CB7"/>
    <w:rsid w:val="00F82280"/>
    <w:rsid w:val="00F8235F"/>
    <w:rsid w:val="00F83A22"/>
    <w:rsid w:val="00F83A97"/>
    <w:rsid w:val="00F844F0"/>
    <w:rsid w:val="00F84895"/>
    <w:rsid w:val="00F84E9D"/>
    <w:rsid w:val="00F8659E"/>
    <w:rsid w:val="00F86CE4"/>
    <w:rsid w:val="00F86F42"/>
    <w:rsid w:val="00F906F4"/>
    <w:rsid w:val="00F91941"/>
    <w:rsid w:val="00F92E3F"/>
    <w:rsid w:val="00F938D2"/>
    <w:rsid w:val="00F96389"/>
    <w:rsid w:val="00F9650E"/>
    <w:rsid w:val="00F96B73"/>
    <w:rsid w:val="00F977C7"/>
    <w:rsid w:val="00FA03E8"/>
    <w:rsid w:val="00FA0890"/>
    <w:rsid w:val="00FA164A"/>
    <w:rsid w:val="00FA2937"/>
    <w:rsid w:val="00FA2B70"/>
    <w:rsid w:val="00FA3F3E"/>
    <w:rsid w:val="00FA4272"/>
    <w:rsid w:val="00FA4855"/>
    <w:rsid w:val="00FA4ACD"/>
    <w:rsid w:val="00FA6428"/>
    <w:rsid w:val="00FA7144"/>
    <w:rsid w:val="00FA7184"/>
    <w:rsid w:val="00FB1D9D"/>
    <w:rsid w:val="00FB29A6"/>
    <w:rsid w:val="00FB3304"/>
    <w:rsid w:val="00FB3345"/>
    <w:rsid w:val="00FB46B8"/>
    <w:rsid w:val="00FB4B38"/>
    <w:rsid w:val="00FB54BB"/>
    <w:rsid w:val="00FB5AC0"/>
    <w:rsid w:val="00FB6C91"/>
    <w:rsid w:val="00FB74E8"/>
    <w:rsid w:val="00FC0263"/>
    <w:rsid w:val="00FC0348"/>
    <w:rsid w:val="00FC074A"/>
    <w:rsid w:val="00FC0FB5"/>
    <w:rsid w:val="00FC102A"/>
    <w:rsid w:val="00FC154C"/>
    <w:rsid w:val="00FC157A"/>
    <w:rsid w:val="00FC1DBC"/>
    <w:rsid w:val="00FC2637"/>
    <w:rsid w:val="00FC26F5"/>
    <w:rsid w:val="00FC393B"/>
    <w:rsid w:val="00FC4052"/>
    <w:rsid w:val="00FC5252"/>
    <w:rsid w:val="00FC6356"/>
    <w:rsid w:val="00FC7D01"/>
    <w:rsid w:val="00FD0130"/>
    <w:rsid w:val="00FD0373"/>
    <w:rsid w:val="00FD0582"/>
    <w:rsid w:val="00FD0C93"/>
    <w:rsid w:val="00FD1062"/>
    <w:rsid w:val="00FD2589"/>
    <w:rsid w:val="00FD446B"/>
    <w:rsid w:val="00FD4876"/>
    <w:rsid w:val="00FD52A3"/>
    <w:rsid w:val="00FD68D4"/>
    <w:rsid w:val="00FE00D9"/>
    <w:rsid w:val="00FE1186"/>
    <w:rsid w:val="00FE177A"/>
    <w:rsid w:val="00FE240A"/>
    <w:rsid w:val="00FE3E3C"/>
    <w:rsid w:val="00FE43E7"/>
    <w:rsid w:val="00FE441C"/>
    <w:rsid w:val="00FE4B66"/>
    <w:rsid w:val="00FE4F6E"/>
    <w:rsid w:val="00FE583F"/>
    <w:rsid w:val="00FE5CC4"/>
    <w:rsid w:val="00FE5D17"/>
    <w:rsid w:val="00FE6B13"/>
    <w:rsid w:val="00FE7575"/>
    <w:rsid w:val="00FF07DF"/>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5000F3-A391-483A-A519-73FAD2D3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46E"/>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Akapit z listą BS,H&amp;P List Paragraph,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1F141A"/>
    <w:rPr>
      <w:color w:val="605E5C"/>
      <w:shd w:val="clear" w:color="auto" w:fill="E1DFDD"/>
    </w:rPr>
  </w:style>
  <w:style w:type="character" w:customStyle="1" w:styleId="ListParagraphChar">
    <w:name w:val="List Paragraph Char"/>
    <w:aliases w:val="2 Char,Akapit z listą BS Char,H&amp;P List Paragraph Char,Strip Char"/>
    <w:link w:val="ListParagraph"/>
    <w:uiPriority w:val="34"/>
    <w:rsid w:val="0094722A"/>
    <w:rPr>
      <w:rFonts w:ascii="Calibri" w:hAnsi="Calibri"/>
      <w:sz w:val="22"/>
      <w:szCs w:val="22"/>
      <w:lang w:eastAsia="en-US"/>
    </w:rPr>
  </w:style>
  <w:style w:type="paragraph" w:styleId="FootnoteText">
    <w:name w:val="footnote text"/>
    <w:basedOn w:val="Normal"/>
    <w:link w:val="FootnoteTextChar"/>
    <w:uiPriority w:val="99"/>
    <w:semiHidden/>
    <w:unhideWhenUsed/>
    <w:rsid w:val="0094722A"/>
    <w:pPr>
      <w:widowControl w:val="0"/>
      <w:jc w:val="both"/>
    </w:pPr>
    <w:rPr>
      <w:rFonts w:eastAsia="Calibri"/>
      <w:sz w:val="20"/>
      <w:szCs w:val="20"/>
      <w:lang w:eastAsia="en-US"/>
    </w:rPr>
  </w:style>
  <w:style w:type="character" w:customStyle="1" w:styleId="FootnoteTextChar">
    <w:name w:val="Footnote Text Char"/>
    <w:link w:val="FootnoteText"/>
    <w:uiPriority w:val="99"/>
    <w:semiHidden/>
    <w:rsid w:val="0094722A"/>
    <w:rPr>
      <w:rFonts w:eastAsia="Calibri"/>
      <w:lang w:eastAsia="en-US"/>
    </w:rPr>
  </w:style>
  <w:style w:type="character" w:styleId="FootnoteReference">
    <w:name w:val="footnote reference"/>
    <w:uiPriority w:val="99"/>
    <w:semiHidden/>
    <w:unhideWhenUsed/>
    <w:rsid w:val="0094722A"/>
    <w:rPr>
      <w:vertAlign w:val="superscript"/>
    </w:rPr>
  </w:style>
  <w:style w:type="character" w:customStyle="1" w:styleId="phrase">
    <w:name w:val="phrase"/>
    <w:rsid w:val="0094722A"/>
  </w:style>
  <w:style w:type="character" w:customStyle="1" w:styleId="word">
    <w:name w:val="word"/>
    <w:rsid w:val="0094722A"/>
  </w:style>
  <w:style w:type="paragraph" w:styleId="Revision">
    <w:name w:val="Revision"/>
    <w:hidden/>
    <w:uiPriority w:val="99"/>
    <w:semiHidden/>
    <w:rsid w:val="00EB21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4372">
      <w:bodyDiv w:val="1"/>
      <w:marLeft w:val="0"/>
      <w:marRight w:val="0"/>
      <w:marTop w:val="0"/>
      <w:marBottom w:val="0"/>
      <w:divBdr>
        <w:top w:val="none" w:sz="0" w:space="0" w:color="auto"/>
        <w:left w:val="none" w:sz="0" w:space="0" w:color="auto"/>
        <w:bottom w:val="none" w:sz="0" w:space="0" w:color="auto"/>
        <w:right w:val="none" w:sz="0" w:space="0" w:color="auto"/>
      </w:divBdr>
      <w:divsChild>
        <w:div w:id="1016420321">
          <w:marLeft w:val="0"/>
          <w:marRight w:val="0"/>
          <w:marTop w:val="0"/>
          <w:marBottom w:val="0"/>
          <w:divBdr>
            <w:top w:val="none" w:sz="0" w:space="0" w:color="auto"/>
            <w:left w:val="none" w:sz="0" w:space="0" w:color="auto"/>
            <w:bottom w:val="none" w:sz="0" w:space="0" w:color="auto"/>
            <w:right w:val="none" w:sz="0" w:space="0" w:color="auto"/>
          </w:divBdr>
        </w:div>
        <w:div w:id="1122573415">
          <w:marLeft w:val="0"/>
          <w:marRight w:val="0"/>
          <w:marTop w:val="0"/>
          <w:marBottom w:val="0"/>
          <w:divBdr>
            <w:top w:val="none" w:sz="0" w:space="0" w:color="auto"/>
            <w:left w:val="none" w:sz="0" w:space="0" w:color="auto"/>
            <w:bottom w:val="none" w:sz="0" w:space="0" w:color="auto"/>
            <w:right w:val="none" w:sz="0" w:space="0" w:color="auto"/>
          </w:divBdr>
        </w:div>
        <w:div w:id="1256286684">
          <w:marLeft w:val="0"/>
          <w:marRight w:val="0"/>
          <w:marTop w:val="0"/>
          <w:marBottom w:val="0"/>
          <w:divBdr>
            <w:top w:val="none" w:sz="0" w:space="0" w:color="auto"/>
            <w:left w:val="none" w:sz="0" w:space="0" w:color="auto"/>
            <w:bottom w:val="none" w:sz="0" w:space="0" w:color="auto"/>
            <w:right w:val="none" w:sz="0" w:space="0" w:color="auto"/>
          </w:divBdr>
        </w:div>
      </w:divsChild>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7258448">
      <w:bodyDiv w:val="1"/>
      <w:marLeft w:val="0"/>
      <w:marRight w:val="0"/>
      <w:marTop w:val="0"/>
      <w:marBottom w:val="0"/>
      <w:divBdr>
        <w:top w:val="none" w:sz="0" w:space="0" w:color="auto"/>
        <w:left w:val="none" w:sz="0" w:space="0" w:color="auto"/>
        <w:bottom w:val="none" w:sz="0" w:space="0" w:color="auto"/>
        <w:right w:val="none" w:sz="0" w:space="0" w:color="auto"/>
      </w:divBdr>
      <w:divsChild>
        <w:div w:id="353966474">
          <w:marLeft w:val="0"/>
          <w:marRight w:val="0"/>
          <w:marTop w:val="0"/>
          <w:marBottom w:val="0"/>
          <w:divBdr>
            <w:top w:val="none" w:sz="0" w:space="0" w:color="auto"/>
            <w:left w:val="none" w:sz="0" w:space="0" w:color="auto"/>
            <w:bottom w:val="none" w:sz="0" w:space="0" w:color="auto"/>
            <w:right w:val="none" w:sz="0" w:space="0" w:color="auto"/>
          </w:divBdr>
        </w:div>
        <w:div w:id="549150583">
          <w:marLeft w:val="0"/>
          <w:marRight w:val="0"/>
          <w:marTop w:val="0"/>
          <w:marBottom w:val="0"/>
          <w:divBdr>
            <w:top w:val="none" w:sz="0" w:space="0" w:color="auto"/>
            <w:left w:val="none" w:sz="0" w:space="0" w:color="auto"/>
            <w:bottom w:val="none" w:sz="0" w:space="0" w:color="auto"/>
            <w:right w:val="none" w:sz="0" w:space="0" w:color="auto"/>
          </w:divBdr>
        </w:div>
        <w:div w:id="844706573">
          <w:marLeft w:val="0"/>
          <w:marRight w:val="0"/>
          <w:marTop w:val="0"/>
          <w:marBottom w:val="0"/>
          <w:divBdr>
            <w:top w:val="none" w:sz="0" w:space="0" w:color="auto"/>
            <w:left w:val="none" w:sz="0" w:space="0" w:color="auto"/>
            <w:bottom w:val="none" w:sz="0" w:space="0" w:color="auto"/>
            <w:right w:val="none" w:sz="0" w:space="0" w:color="auto"/>
          </w:divBdr>
        </w:div>
        <w:div w:id="1033726739">
          <w:marLeft w:val="0"/>
          <w:marRight w:val="0"/>
          <w:marTop w:val="0"/>
          <w:marBottom w:val="0"/>
          <w:divBdr>
            <w:top w:val="none" w:sz="0" w:space="0" w:color="auto"/>
            <w:left w:val="none" w:sz="0" w:space="0" w:color="auto"/>
            <w:bottom w:val="none" w:sz="0" w:space="0" w:color="auto"/>
            <w:right w:val="none" w:sz="0" w:space="0" w:color="auto"/>
          </w:divBdr>
        </w:div>
        <w:div w:id="1330595502">
          <w:marLeft w:val="0"/>
          <w:marRight w:val="0"/>
          <w:marTop w:val="0"/>
          <w:marBottom w:val="0"/>
          <w:divBdr>
            <w:top w:val="none" w:sz="0" w:space="0" w:color="auto"/>
            <w:left w:val="none" w:sz="0" w:space="0" w:color="auto"/>
            <w:bottom w:val="none" w:sz="0" w:space="0" w:color="auto"/>
            <w:right w:val="none" w:sz="0" w:space="0" w:color="auto"/>
          </w:divBdr>
        </w:div>
        <w:div w:id="1424304337">
          <w:marLeft w:val="0"/>
          <w:marRight w:val="0"/>
          <w:marTop w:val="0"/>
          <w:marBottom w:val="0"/>
          <w:divBdr>
            <w:top w:val="none" w:sz="0" w:space="0" w:color="auto"/>
            <w:left w:val="none" w:sz="0" w:space="0" w:color="auto"/>
            <w:bottom w:val="none" w:sz="0" w:space="0" w:color="auto"/>
            <w:right w:val="none" w:sz="0" w:space="0" w:color="auto"/>
          </w:divBdr>
        </w:div>
        <w:div w:id="1639534623">
          <w:marLeft w:val="0"/>
          <w:marRight w:val="0"/>
          <w:marTop w:val="0"/>
          <w:marBottom w:val="0"/>
          <w:divBdr>
            <w:top w:val="none" w:sz="0" w:space="0" w:color="auto"/>
            <w:left w:val="none" w:sz="0" w:space="0" w:color="auto"/>
            <w:bottom w:val="none" w:sz="0" w:space="0" w:color="auto"/>
            <w:right w:val="none" w:sz="0" w:space="0" w:color="auto"/>
          </w:divBdr>
        </w:div>
        <w:div w:id="1727340391">
          <w:marLeft w:val="0"/>
          <w:marRight w:val="0"/>
          <w:marTop w:val="0"/>
          <w:marBottom w:val="0"/>
          <w:divBdr>
            <w:top w:val="none" w:sz="0" w:space="0" w:color="auto"/>
            <w:left w:val="none" w:sz="0" w:space="0" w:color="auto"/>
            <w:bottom w:val="none" w:sz="0" w:space="0" w:color="auto"/>
            <w:right w:val="none" w:sz="0" w:space="0" w:color="auto"/>
          </w:divBdr>
        </w:div>
        <w:div w:id="1935940798">
          <w:marLeft w:val="0"/>
          <w:marRight w:val="0"/>
          <w:marTop w:val="0"/>
          <w:marBottom w:val="0"/>
          <w:divBdr>
            <w:top w:val="none" w:sz="0" w:space="0" w:color="auto"/>
            <w:left w:val="none" w:sz="0" w:space="0" w:color="auto"/>
            <w:bottom w:val="none" w:sz="0" w:space="0" w:color="auto"/>
            <w:right w:val="none" w:sz="0" w:space="0" w:color="auto"/>
          </w:divBdr>
        </w:div>
        <w:div w:id="2098865931">
          <w:marLeft w:val="0"/>
          <w:marRight w:val="0"/>
          <w:marTop w:val="0"/>
          <w:marBottom w:val="0"/>
          <w:divBdr>
            <w:top w:val="none" w:sz="0" w:space="0" w:color="auto"/>
            <w:left w:val="none" w:sz="0" w:space="0" w:color="auto"/>
            <w:bottom w:val="none" w:sz="0" w:space="0" w:color="auto"/>
            <w:right w:val="none" w:sz="0" w:space="0" w:color="auto"/>
          </w:divBdr>
        </w:div>
      </w:divsChild>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0819741">
      <w:bodyDiv w:val="1"/>
      <w:marLeft w:val="0"/>
      <w:marRight w:val="0"/>
      <w:marTop w:val="0"/>
      <w:marBottom w:val="0"/>
      <w:divBdr>
        <w:top w:val="none" w:sz="0" w:space="0" w:color="auto"/>
        <w:left w:val="none" w:sz="0" w:space="0" w:color="auto"/>
        <w:bottom w:val="none" w:sz="0" w:space="0" w:color="auto"/>
        <w:right w:val="none" w:sz="0" w:space="0" w:color="auto"/>
      </w:divBdr>
      <w:divsChild>
        <w:div w:id="486166836">
          <w:marLeft w:val="0"/>
          <w:marRight w:val="0"/>
          <w:marTop w:val="0"/>
          <w:marBottom w:val="0"/>
          <w:divBdr>
            <w:top w:val="none" w:sz="0" w:space="0" w:color="auto"/>
            <w:left w:val="none" w:sz="0" w:space="0" w:color="auto"/>
            <w:bottom w:val="none" w:sz="0" w:space="0" w:color="auto"/>
            <w:right w:val="none" w:sz="0" w:space="0" w:color="auto"/>
          </w:divBdr>
        </w:div>
        <w:div w:id="1530026425">
          <w:marLeft w:val="0"/>
          <w:marRight w:val="0"/>
          <w:marTop w:val="0"/>
          <w:marBottom w:val="0"/>
          <w:divBdr>
            <w:top w:val="none" w:sz="0" w:space="0" w:color="auto"/>
            <w:left w:val="none" w:sz="0" w:space="0" w:color="auto"/>
            <w:bottom w:val="none" w:sz="0" w:space="0" w:color="auto"/>
            <w:right w:val="none" w:sz="0" w:space="0" w:color="auto"/>
          </w:divBdr>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90993797">
      <w:bodyDiv w:val="1"/>
      <w:marLeft w:val="0"/>
      <w:marRight w:val="0"/>
      <w:marTop w:val="0"/>
      <w:marBottom w:val="0"/>
      <w:divBdr>
        <w:top w:val="none" w:sz="0" w:space="0" w:color="auto"/>
        <w:left w:val="none" w:sz="0" w:space="0" w:color="auto"/>
        <w:bottom w:val="none" w:sz="0" w:space="0" w:color="auto"/>
        <w:right w:val="none" w:sz="0" w:space="0" w:color="auto"/>
      </w:divBdr>
    </w:div>
    <w:div w:id="124344552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8835506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3444802">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57034968">
      <w:bodyDiv w:val="1"/>
      <w:marLeft w:val="0"/>
      <w:marRight w:val="0"/>
      <w:marTop w:val="0"/>
      <w:marBottom w:val="0"/>
      <w:divBdr>
        <w:top w:val="none" w:sz="0" w:space="0" w:color="auto"/>
        <w:left w:val="none" w:sz="0" w:space="0" w:color="auto"/>
        <w:bottom w:val="none" w:sz="0" w:space="0" w:color="auto"/>
        <w:right w:val="none" w:sz="0" w:space="0" w:color="auto"/>
      </w:divBdr>
      <w:divsChild>
        <w:div w:id="68499591">
          <w:marLeft w:val="0"/>
          <w:marRight w:val="0"/>
          <w:marTop w:val="0"/>
          <w:marBottom w:val="0"/>
          <w:divBdr>
            <w:top w:val="none" w:sz="0" w:space="0" w:color="auto"/>
            <w:left w:val="none" w:sz="0" w:space="0" w:color="auto"/>
            <w:bottom w:val="none" w:sz="0" w:space="0" w:color="auto"/>
            <w:right w:val="none" w:sz="0" w:space="0" w:color="auto"/>
          </w:divBdr>
        </w:div>
        <w:div w:id="490950940">
          <w:marLeft w:val="0"/>
          <w:marRight w:val="0"/>
          <w:marTop w:val="0"/>
          <w:marBottom w:val="0"/>
          <w:divBdr>
            <w:top w:val="none" w:sz="0" w:space="0" w:color="auto"/>
            <w:left w:val="none" w:sz="0" w:space="0" w:color="auto"/>
            <w:bottom w:val="none" w:sz="0" w:space="0" w:color="auto"/>
            <w:right w:val="none" w:sz="0" w:space="0" w:color="auto"/>
          </w:divBdr>
        </w:div>
        <w:div w:id="891237326">
          <w:marLeft w:val="0"/>
          <w:marRight w:val="0"/>
          <w:marTop w:val="0"/>
          <w:marBottom w:val="0"/>
          <w:divBdr>
            <w:top w:val="none" w:sz="0" w:space="0" w:color="auto"/>
            <w:left w:val="none" w:sz="0" w:space="0" w:color="auto"/>
            <w:bottom w:val="none" w:sz="0" w:space="0" w:color="auto"/>
            <w:right w:val="none" w:sz="0" w:space="0" w:color="auto"/>
          </w:divBdr>
        </w:div>
        <w:div w:id="925964434">
          <w:marLeft w:val="0"/>
          <w:marRight w:val="0"/>
          <w:marTop w:val="0"/>
          <w:marBottom w:val="0"/>
          <w:divBdr>
            <w:top w:val="none" w:sz="0" w:space="0" w:color="auto"/>
            <w:left w:val="none" w:sz="0" w:space="0" w:color="auto"/>
            <w:bottom w:val="none" w:sz="0" w:space="0" w:color="auto"/>
            <w:right w:val="none" w:sz="0" w:space="0" w:color="auto"/>
          </w:divBdr>
        </w:div>
        <w:div w:id="940991910">
          <w:marLeft w:val="0"/>
          <w:marRight w:val="0"/>
          <w:marTop w:val="0"/>
          <w:marBottom w:val="0"/>
          <w:divBdr>
            <w:top w:val="none" w:sz="0" w:space="0" w:color="auto"/>
            <w:left w:val="none" w:sz="0" w:space="0" w:color="auto"/>
            <w:bottom w:val="none" w:sz="0" w:space="0" w:color="auto"/>
            <w:right w:val="none" w:sz="0" w:space="0" w:color="auto"/>
          </w:divBdr>
        </w:div>
        <w:div w:id="1068459635">
          <w:marLeft w:val="0"/>
          <w:marRight w:val="0"/>
          <w:marTop w:val="0"/>
          <w:marBottom w:val="0"/>
          <w:divBdr>
            <w:top w:val="none" w:sz="0" w:space="0" w:color="auto"/>
            <w:left w:val="none" w:sz="0" w:space="0" w:color="auto"/>
            <w:bottom w:val="none" w:sz="0" w:space="0" w:color="auto"/>
            <w:right w:val="none" w:sz="0" w:space="0" w:color="auto"/>
          </w:divBdr>
        </w:div>
        <w:div w:id="1310983603">
          <w:marLeft w:val="0"/>
          <w:marRight w:val="0"/>
          <w:marTop w:val="0"/>
          <w:marBottom w:val="0"/>
          <w:divBdr>
            <w:top w:val="none" w:sz="0" w:space="0" w:color="auto"/>
            <w:left w:val="none" w:sz="0" w:space="0" w:color="auto"/>
            <w:bottom w:val="none" w:sz="0" w:space="0" w:color="auto"/>
            <w:right w:val="none" w:sz="0" w:space="0" w:color="auto"/>
          </w:divBdr>
        </w:div>
        <w:div w:id="1378044014">
          <w:marLeft w:val="0"/>
          <w:marRight w:val="0"/>
          <w:marTop w:val="0"/>
          <w:marBottom w:val="0"/>
          <w:divBdr>
            <w:top w:val="none" w:sz="0" w:space="0" w:color="auto"/>
            <w:left w:val="none" w:sz="0" w:space="0" w:color="auto"/>
            <w:bottom w:val="none" w:sz="0" w:space="0" w:color="auto"/>
            <w:right w:val="none" w:sz="0" w:space="0" w:color="auto"/>
          </w:divBdr>
        </w:div>
        <w:div w:id="1571892166">
          <w:marLeft w:val="0"/>
          <w:marRight w:val="0"/>
          <w:marTop w:val="0"/>
          <w:marBottom w:val="0"/>
          <w:divBdr>
            <w:top w:val="none" w:sz="0" w:space="0" w:color="auto"/>
            <w:left w:val="none" w:sz="0" w:space="0" w:color="auto"/>
            <w:bottom w:val="none" w:sz="0" w:space="0" w:color="auto"/>
            <w:right w:val="none" w:sz="0" w:space="0" w:color="auto"/>
          </w:divBdr>
        </w:div>
        <w:div w:id="2135438583">
          <w:marLeft w:val="0"/>
          <w:marRight w:val="0"/>
          <w:marTop w:val="0"/>
          <w:marBottom w:val="0"/>
          <w:divBdr>
            <w:top w:val="none" w:sz="0" w:space="0" w:color="auto"/>
            <w:left w:val="none" w:sz="0" w:space="0" w:color="auto"/>
            <w:bottom w:val="none" w:sz="0" w:space="0" w:color="auto"/>
            <w:right w:val="none" w:sz="0" w:space="0" w:color="auto"/>
          </w:divBdr>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7980-latvijas-republikas-satversm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57980-latvijas-republikas-satversm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likumi.lv/ta/id/57980-latvijas-republikas-satvers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likumi.lv/ta/id/57980-latvijas-republikas-satversm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lo.org/dyn/normlex/en/f?p=NORMLEXPUB:70002:0::NO::P70002_HIER_ELEMENT_ID,P70002_HIER_LEVEL:3945742,3" TargetMode="External"/><Relationship Id="rId1" Type="http://schemas.openxmlformats.org/officeDocument/2006/relationships/hyperlink" Target="https://rm.coe.int/digest-2018-parts-i-ii-iii-iv-en/1680939f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22716-F0BA-44C1-887D-BCBC20C0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40568</Words>
  <Characters>23125</Characters>
  <Application>Microsoft Office Word</Application>
  <DocSecurity>0</DocSecurity>
  <Lines>192</Lines>
  <Paragraphs>127</Paragraphs>
  <ScaleCrop>false</ScaleCrop>
  <HeadingPairs>
    <vt:vector size="2" baseType="variant">
      <vt:variant>
        <vt:lpstr>Title</vt:lpstr>
      </vt:variant>
      <vt:variant>
        <vt:i4>1</vt:i4>
      </vt:variant>
    </vt:vector>
  </HeadingPairs>
  <TitlesOfParts>
    <vt:vector size="1" baseType="lpstr">
      <vt:lpstr>Likumprojekts "Grozījums Streiku likumā"</vt:lpstr>
    </vt:vector>
  </TitlesOfParts>
  <Company>Finanšu ministrija (Valsts ieņēmumu dienests)</Company>
  <LinksUpToDate>false</LinksUpToDate>
  <CharactersWithSpaces>63566</CharactersWithSpaces>
  <SharedDoc>false</SharedDoc>
  <HLinks>
    <vt:vector size="36" baseType="variant">
      <vt:variant>
        <vt:i4>5177428</vt:i4>
      </vt:variant>
      <vt:variant>
        <vt:i4>9</vt:i4>
      </vt:variant>
      <vt:variant>
        <vt:i4>0</vt:i4>
      </vt:variant>
      <vt:variant>
        <vt:i4>5</vt:i4>
      </vt:variant>
      <vt:variant>
        <vt:lpwstr>https://m.likumi.lv/ta/id/57980-latvijas-republikas-satversme</vt:lpwstr>
      </vt:variant>
      <vt:variant>
        <vt:lpwstr/>
      </vt:variant>
      <vt:variant>
        <vt:i4>5177428</vt:i4>
      </vt:variant>
      <vt:variant>
        <vt:i4>6</vt:i4>
      </vt:variant>
      <vt:variant>
        <vt:i4>0</vt:i4>
      </vt:variant>
      <vt:variant>
        <vt:i4>5</vt:i4>
      </vt:variant>
      <vt:variant>
        <vt:lpwstr>https://m.likumi.lv/ta/id/57980-latvijas-republikas-satversme</vt:lpwstr>
      </vt:variant>
      <vt:variant>
        <vt:lpwstr/>
      </vt:variant>
      <vt:variant>
        <vt:i4>4718613</vt:i4>
      </vt:variant>
      <vt:variant>
        <vt:i4>3</vt:i4>
      </vt:variant>
      <vt:variant>
        <vt:i4>0</vt:i4>
      </vt:variant>
      <vt:variant>
        <vt:i4>5</vt:i4>
      </vt:variant>
      <vt:variant>
        <vt:lpwstr>https://m.likumi.lv/ta/id/57980-latvijas-republikas-satversme</vt:lpwstr>
      </vt:variant>
      <vt:variant>
        <vt:lpwstr>p116</vt:lpwstr>
      </vt:variant>
      <vt:variant>
        <vt:i4>5177428</vt:i4>
      </vt:variant>
      <vt:variant>
        <vt:i4>0</vt:i4>
      </vt:variant>
      <vt:variant>
        <vt:i4>0</vt:i4>
      </vt:variant>
      <vt:variant>
        <vt:i4>5</vt:i4>
      </vt:variant>
      <vt:variant>
        <vt:lpwstr>https://m.likumi.lv/ta/id/57980-latvijas-republikas-satversme</vt:lpwstr>
      </vt:variant>
      <vt:variant>
        <vt:lpwstr/>
      </vt:variant>
      <vt:variant>
        <vt:i4>721000</vt:i4>
      </vt:variant>
      <vt:variant>
        <vt:i4>3</vt:i4>
      </vt:variant>
      <vt:variant>
        <vt:i4>0</vt:i4>
      </vt:variant>
      <vt:variant>
        <vt:i4>5</vt:i4>
      </vt:variant>
      <vt:variant>
        <vt:lpwstr>https://www.ilo.org/dyn/normlex/en/f?p=NORMLEXPUB:70002:0::NO::P70002_HIER_ELEMENT_ID,P70002_HIER_LEVEL:3945742,3</vt:lpwstr>
      </vt:variant>
      <vt:variant>
        <vt:lpwstr/>
      </vt:variant>
      <vt:variant>
        <vt:i4>7667757</vt:i4>
      </vt:variant>
      <vt:variant>
        <vt:i4>0</vt:i4>
      </vt:variant>
      <vt:variant>
        <vt:i4>0</vt:i4>
      </vt:variant>
      <vt:variant>
        <vt:i4>5</vt:i4>
      </vt:variant>
      <vt:variant>
        <vt:lpwstr>https://rm.coe.int/digest-2018-parts-i-ii-iii-iv-en/1680939f80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"Grozījums Streiku likumā"</dc:title>
  <dc:subject>Izziņa par atzinumos izteiktajiem iebildumiem</dc:subject>
  <dc:creator>Nataļja Sigņejeva</dc:creator>
  <cp:keywords/>
  <dc:description>67122654,_x000d_
Natalja.Signejeva@vid.gov.lv</dc:description>
  <cp:lastModifiedBy>Nataļja Sigņejeva</cp:lastModifiedBy>
  <cp:revision>2</cp:revision>
  <cp:lastPrinted>2020-07-02T06:52:00Z</cp:lastPrinted>
  <dcterms:created xsi:type="dcterms:W3CDTF">2022-02-21T09:40:00Z</dcterms:created>
  <dcterms:modified xsi:type="dcterms:W3CDTF">2022-02-21T09:40:00Z</dcterms:modified>
</cp:coreProperties>
</file>