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23-TA-1682: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20. decembra noteikumos Nr. 812 "Oficiālās statistikas veidlapu paraugu apstiprināšanas un veidlapu aizpildīšanas un iesniegšanas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5.4.apakšpunkta 1.tabulā attiecībā uz Komisijas 2019. gada 1. augusta Deleģētās regulas (ES) Nr. 2019/1681 ar ko attiecībā uz nosūtīšanas termiņiem un I un II pielikuma pielāgošanu groza Eiropas Parlamenta un Padomes Regulu (ES) Nr. 692/2011 attiecībā uz Eiropas statistiku par tūrismu (turpmāk - Regula 2019/1681) 1.pantu norādīts, ka projekts paredzētas stingrākas prasības, proti, “daži rādītāji saskaņā ar regulu ir jānosūta reizi trijos gados, mēs datu lietotāju vajadzībām tos vācam katru gadu”. Ņemot vērā, ka atbilstoši datu apstrādes principiem personas dati tiek apstrādāti likumīgi, godprātīgi, datu subjektam pārredzamā veidā, tiek vākti konkrētos, skaidros un leģitīmos nolūkos, lūdzam papildināt anotāciju ar izvērstāku skaidrojumu par nepieciešamību paredzēt stingrākas prasības, detalizētāk paskaidrojot ar ko saprotamas “datu lietotāju vajadzības”, tādējādi norādot datu apstrādes mērķus, kā sasniegšanai nepieciešams rādītājus nosūtīt biežāk, nekā to paredz minētā regula.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gadījumos, kad projekts paredz stingrākas prasības ir jāsniedz attiecīgu skaidrojumu par šādu prasību nepieciešamību un samērīgumu, kā arī jānorāda iespējamās alternatīvas (t. sk. alternatīvas, kas neparedz tiesiskā regulējuma izstrādi), kādos gadījumos būtu iespējams izvairīties no stingrāku prasību noteikšanas, nekā paredzēts attiecīgajos Eiropas Savienības tiesību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apakšpunkts precizēts.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sadaļas risinājuma aprakstā pilnīgāk skaidrot noteikumos un tā pielikumos (veidlapās) veiktās izmaiņas. Piemēram, risinājuma apraksta 33. punkts definēts ļoti vispārīgi, neradot izpratni par attiecīgā grozījuma mērķi vai saturu. Risinājuma apraksta 1. punktā skaidrotas izmaiņas attiecīgajā veidlapā, taču tās tiek skaidrotas daļēji (piemēram, nav minēts, ka izmaiņas veidlapā skar ne tikai sadaļas par aļģu audzēšanu.), risinājuma aprakstā grozījumiem noteikumu 7. pielikumā norādīti precizējumi sakarā ar NACE 2.1. red. ieviešanu, savukārt veiktie grozījumi, šķietami ir tehniska rakstura un tieši neizriet no Komisijas 2022. gada 10. oktobra deleģētā Regula (ES) Nr. 2023/137 ar kuru groza Eiropas Parlamenta un Padomes Regulu (EK) Nr. 1893/2006, ar ko izveido NACE 2. red. saimniecisko darbību statistisko klasifikāciju, kā tas skaidrots anotācijā. Arī attiecībā uz projekta 13. pielikumu tiek norādīts, ka Eirozonas valstu uzskaitījums tiek papildināts, taču tas tiek izņemts, iekļaujot vispārīgu norādi uz to, ka "Eiro zonas valstu uzskaitījums (aizpilda Centrālā statistikas pārvalde", tāpat tiek aktualizēta hipersaite uz PRODCOM klasifikāciju Centrālās statistikas pārvaldes tīmekļa vietnē.", bet risinājuma apraksta 10. punktā nav skaidrota norādījumu veidlapas aizpildīšanai svītrošana. Vienlaicīgi norādām, ka anotācijas 1.3. apakšpunktā nav skaidrots projekta 18.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pilnīgāk skaidrot un pamatot veiktās izmaiņas, tostarp arī nodrošinot, lai būtu sniegts skaidrojums par to, vai veidlapās veiktās izmaiņas atbilst attiecīgo Eiropas Savienības tiesību aktu prasībām. Piemēram, attiecībā uz risinājuma apraksta 7. punktu. Īpašu uzmanību lūdzam pievērst skaidrojumiem jaunajām veidlapām, izvērstāk skaidrojot iegūstamos datus, datu iegūšanas mērķi, tiesisko pamatu u.c. nianses, kas nodrošinātu pilnīgāku izpratni par ieviestajām veidlapām.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risinājuma apraksta 1. punktu norādām, ka izmaiņas veidlapā skar tikai aļģu audzēšanu un pārdošanu.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projekta 13. pielikumu norādām, ka veidlapu vērtēšanas darba procesā tika rasts iespējami labākais risinājums, lai katru reizi, kad kāda valsts iestājas eiro zonā, nebūtu jāveic veidlapu vērtēšana un līdz ar to arī grozījumi MK noteikumos Nr. 812. Pēc diskusijām, valstu uzskaitījums tika aizstāts ar šādu veidlapās redzamo tekstu “Eiro zonas valstu uzskaitījums (aizpilda Centrālā statistikas pārvalde).”. Precizēta anotācija. 13. pielikumā (2-RC) netiek aktualizēta hipersaite uz PRODCOM klasifikāciju Centrālās statistikas pārvaldes tīmekļa vietnē, bet tiek norādīta uz doto brīdi esošā tīmekļa vietnes sadaļa, kur iespējams atrast CPA 2.1. red. un PRODCOM klasifikācijas. Spēkā esošajā 41. pielikumā ir norādīts šādi “tīmekļa vietnē www.csb.gov.lv sadaļā "Statistika" – „Statistisko klasifikāciju katalogs".” Labots atbilstoši esošajai atrašanās vietai “tīmekļa vietnē csp.gov.lv sadaļā “Klasifikācijas”.”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risinājuma apraksta 10. punktu norādām, ka tā bija kļūda, nebija paredzēts svītrot norādījumus veidlapas aizpildīšanai. Šobrīd kļūda novērsta.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grozījumiem 7. pielikumā, risinājuma aprakstā nav minēts nekas par NACE 2.1. redakciju, jo tajā netika veikti grozījumi vai precizējumi sakarā ar NACE 2.1.red. ieviešanu un šādi precizējumi nav atrodami arī 7.pielikumā. Anotācijas 1.3. punkts papildināts ar plašāku skaidrojumu par veiktajām izmaiņām un to atbilstību Eiropas Savienības tiesību normām.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plašāk skaidrojot jauno veidlapu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- 25.08.2023.)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VARAM darbības stratēģijas 2020.-2023.gadam rādītājiem ir šāds: Iedzīvotāju īpatsvars, kas izmanto internetu sadarbībai ar valsts un pašvaldību institūcijām (%). VARAM ir būtiski savlaicīgi izvērtēt darbības rādītāju ieguves avotu turpmākajiem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iekļautais 20. pielikuma ““Veidlapas Nr. IKT-personas “Interneta lietošana 2024. gadā” paraugs”, turpmāk - veidlapa, C daļas rezultāti tiek izmantoti minētajam rāditājam. Aicinām anotācijā norādīt interneta lietošanas aptaujas regularitāti laika posmā 2024.-2030.gads.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risinājuma apraksts anotācijā MK noteikumu projekta 20. pielikumam.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anotācijas 5.daļu,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w:t>
            </w:r>
            <w:r w:rsidR="00000000" w:rsidRPr="00000000" w:rsidDel="00000000">
              <w:rPr>
                <w:rtl w:val="0"/>
              </w:rPr>
              <w:t xml:space="preserve">atbilstoši projektam</w:t>
            </w:r>
            <w:r w:rsidR="00000000" w:rsidRPr="00000000" w:rsidDel="00000000">
              <w:rPr>
                <w:b w:val="1"/>
                <w:rtl w:val="0"/>
              </w:rPr>
              <w:t xml:space="preserve"> ar 3. un 28. punktu ir ieviestas</w:t>
            </w:r>
            <w:r w:rsidR="00000000" w:rsidRPr="00000000" w:rsidDel="00000000">
              <w:rPr>
                <w:rtl w:val="0"/>
              </w:rPr>
              <w:t xml:space="preserve"> Eiropas Parlamenta un Padomes 2008. gada 22. oktobra </w:t>
            </w:r>
            <w:r w:rsidR="00000000" w:rsidRPr="00000000" w:rsidDel="00000000">
              <w:rPr>
                <w:b w:val="1"/>
                <w:rtl w:val="0"/>
              </w:rPr>
              <w:t xml:space="preserve">Regulas Nr. 1099/2008</w:t>
            </w:r>
            <w:r w:rsidR="00000000" w:rsidRPr="00000000" w:rsidDel="00000000">
              <w:rPr>
                <w:rtl w:val="0"/>
              </w:rPr>
              <w:t xml:space="preserve"> par enerģētikas statistiku </w:t>
            </w:r>
            <w:r w:rsidR="00000000" w:rsidRPr="00000000" w:rsidDel="00000000">
              <w:rPr>
                <w:b w:val="1"/>
                <w:rtl w:val="0"/>
              </w:rPr>
              <w:t xml:space="preserve">prasības, ar 4. un 32. punktu ir ieviestas</w:t>
            </w:r>
            <w:r w:rsidR="00000000" w:rsidRPr="00000000" w:rsidDel="00000000">
              <w:rPr>
                <w:rtl w:val="0"/>
              </w:rPr>
              <w:t xml:space="preserve"> Eiropas Parlamenta un Padomes 2013. gada 21. maija </w:t>
            </w:r>
            <w:r w:rsidR="00000000" w:rsidRPr="00000000" w:rsidDel="00000000">
              <w:rPr>
                <w:b w:val="1"/>
                <w:rtl w:val="0"/>
              </w:rPr>
              <w:t xml:space="preserve">Regulas (ES) Nr. 549/2013</w:t>
            </w:r>
            <w:r w:rsidR="00000000" w:rsidRPr="00000000" w:rsidDel="00000000">
              <w:rPr>
                <w:rtl w:val="0"/>
              </w:rPr>
              <w:t xml:space="preserve"> par Eiropas nacionālo un reģionālo kontu sistēmu Eiropas Savienībā </w:t>
            </w:r>
            <w:r w:rsidR="00000000" w:rsidRPr="00000000" w:rsidDel="00000000">
              <w:rPr>
                <w:b w:val="1"/>
                <w:rtl w:val="0"/>
              </w:rPr>
              <w:t xml:space="preserve">prasības, ar 5. un 37. punktu ir ieviestas </w:t>
            </w:r>
            <w:r w:rsidR="00000000" w:rsidRPr="00000000" w:rsidDel="00000000">
              <w:rPr>
                <w:rtl w:val="0"/>
              </w:rPr>
              <w:t xml:space="preserve">Eiropas Parlamenta un Padomes 2011. gada 6. jūlija </w:t>
            </w:r>
            <w:r w:rsidR="00000000" w:rsidRPr="00000000" w:rsidDel="00000000">
              <w:rPr>
                <w:b w:val="1"/>
                <w:rtl w:val="0"/>
              </w:rPr>
              <w:t xml:space="preserve">Regulas (ES) Nr. 692/2011</w:t>
            </w:r>
            <w:r w:rsidR="00000000" w:rsidRPr="00000000" w:rsidDel="00000000">
              <w:rPr>
                <w:rtl w:val="0"/>
              </w:rPr>
              <w:t xml:space="preserve"> attiecībā uz Eiropas statistiku par tūrismu un ar ko atceļ Padomes Direktīvu 95/57/EK </w:t>
            </w:r>
            <w:r w:rsidR="00000000" w:rsidRPr="00000000" w:rsidDel="00000000">
              <w:rPr>
                <w:b w:val="1"/>
                <w:rtl w:val="0"/>
              </w:rPr>
              <w:t xml:space="preserve">prasības, ar 2., 7., 24., 41. punktu</w:t>
            </w:r>
            <w:r w:rsidR="00000000" w:rsidRPr="00000000" w:rsidDel="00000000">
              <w:rPr>
                <w:rtl w:val="0"/>
              </w:rPr>
              <w:t xml:space="preserve"> Eiropas Parlamenta un Padomes 2019. gada 27. novembra </w:t>
            </w:r>
            <w:r w:rsidR="00000000" w:rsidRPr="00000000" w:rsidDel="00000000">
              <w:rPr>
                <w:b w:val="1"/>
                <w:rtl w:val="0"/>
              </w:rPr>
              <w:t xml:space="preserve">Regula(ES) Nr. 2019/2152</w:t>
            </w:r>
            <w:r w:rsidR="00000000" w:rsidRPr="00000000" w:rsidDel="00000000">
              <w:rPr>
                <w:rtl w:val="0"/>
              </w:rPr>
              <w:t xml:space="preserve"> par Eiropas uzņēmējdarbības statistiku, ar ko atceļ 10 tiesību aktus uzņēmējdarbības statistikas jomā </w:t>
            </w:r>
            <w:r w:rsidR="00000000" w:rsidRPr="00000000" w:rsidDel="00000000">
              <w:rPr>
                <w:b w:val="1"/>
                <w:rtl w:val="0"/>
              </w:rPr>
              <w:t xml:space="preserve">prasības, bet ar 6. punktu</w:t>
            </w:r>
            <w:r w:rsidR="00000000" w:rsidRPr="00000000" w:rsidDel="00000000">
              <w:rPr>
                <w:rtl w:val="0"/>
              </w:rPr>
              <w:t xml:space="preserve"> Eiropas Parlamenta un Padomes 2019. gada 10. oktobra </w:t>
            </w:r>
            <w:r w:rsidR="00000000" w:rsidRPr="00000000" w:rsidDel="00000000">
              <w:rPr>
                <w:b w:val="1"/>
                <w:rtl w:val="0"/>
              </w:rPr>
              <w:t xml:space="preserve">Regula (ES) Nr. 2019/1700 </w:t>
            </w:r>
            <w:r w:rsidR="00000000" w:rsidRPr="00000000" w:rsidDel="00000000">
              <w:rPr>
                <w:rtl w:val="0"/>
              </w:rPr>
              <w:t xml:space="preserve">ar ko izveido vienotu ietvaru Eiropas statistikai par personām un mājsaimniecībām, kuras pamatā ir no izlasēm savākti dati individuālā līmenī, ar ko groza Eiropas Parlamenta un Padomes Regulas (EK) Nr. 808/2004, (EK) Nr. 452/2008 un (EK) Nr. 1338/2008 un ar ko atceļ Eiropas Parlamenta un Padomes Regulu (EK) Nr. 1177/2003 un Padomes Regulu (EK) Nr. 577/98 </w:t>
            </w:r>
            <w:r w:rsidR="00000000" w:rsidRPr="00000000" w:rsidDel="00000000">
              <w:rPr>
                <w:b w:val="1"/>
                <w:rtl w:val="0"/>
              </w:rPr>
              <w:t xml:space="preserve">prasības, kas nav atspoguļots 5.4. apakšpunkta 1. tabulā. </w:t>
            </w:r>
            <w:r w:rsidR="00000000" w:rsidRPr="00000000" w:rsidDel="00000000">
              <w:rPr>
                <w:rtl w:val="0"/>
              </w:rPr>
              <w:t xml:space="preserve">Tāpat daļa uzskaitīto Eiropas Savienības tiesību aktu nav norādīta anotācijas 5.1. apakšpunktā.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w:t>
            </w:r>
            <w:r w:rsidR="00000000" w:rsidRPr="00000000" w:rsidDel="00000000">
              <w:rPr>
                <w:rtl w:val="0"/>
              </w:rPr>
              <w:t xml:space="preserve"> atbilstoši Ministru kabineta 2016. gada 20. decembra noteikumos Nr. 812 "Oficiālās statistikas veidlapu paraugu apstiprināšanas un veidlapu aizpildīšanas un iesniegšanas noteikumi" (turpmāk - noteikumi Nr.812) iepriekš veiktajiem grozījumiem, ar projektā grozījumiem pakļautajiem punktiem ir ieviests arī, piemēram,  Eiropas Parlamenta un Padomes 2019. gada 27. novembra Regulas (ES) 2019/2152 par Eiropas uzņēmējdarbības statistiku, ar ko atceļ 10 tiesību aktus uzņēmējdarbības statistikas jomā 6. panta 2.punkta c) apakšpunkts, I pielikuma 2.joma (tēma - IKT izmantojums un e-komercija) un II pielikuma 2 joma (tēma - IKT izmantojums un e-komercija) (noteikumu Nr. 812 2.16 punkts). Attiecīgi lūdzam pārskatīt projektu un izvērtēt, vai uz to attiecināmās, šī projekta anotācijā nenorādītās (iepriekš pārņemtās/ieviestās), Eiropas Savienības tiesību normas joprojām ir attiecināmas. Šādā gadījumā, iesakām papildināt anotācijas 5.4. apakšpunktu ar norādēm uz Eiropas Savienības tiesību normām vai norādīt, ka līdz šim pārņemtās/ieviestās, no Eiropas Savienības tiesību normām  izrietošās prasības netiek mainītas, ietekmētas vai nepārņemtas.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w:t>
            </w:r>
            <w:r w:rsidR="00000000" w:rsidRPr="00000000" w:rsidDel="00000000">
              <w:rPr>
                <w:rtl w:val="0"/>
              </w:rPr>
              <w:t xml:space="preserve"> šķietami 5.4. apakšpunkta 1. tabulā norādītas neatbilstošas projekta vienības, piemēram, projekta 3. pielikums ir 21. punkts, 29. pielikums ir 51. punkts utt.. Attiecīgi lūdzam pārbaudīt anotācijas 5.4. apakšpunkta 1.tabulu un veikt tajā nepieciešamos labojumus.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w:t>
            </w:r>
            <w:r w:rsidR="00000000" w:rsidRPr="00000000" w:rsidDel="00000000">
              <w:rPr>
                <w:rtl w:val="0"/>
              </w:rPr>
              <w:t xml:space="preserve">anotācijas 5.4. apakšpunkta 1. tabulas Regulas 2019/1681 sadaļā, skaidrojot rīcības brīvības izmantošanu, lūdzam norādīt konkrētu Eiropas Savienības tiesību akta normu un pamatojumu, kādēļ ir vai nav izmantota tajā paredzētā rīcības brīvība dalībvalstij. Pašreizējā redakcija ir vispārināta un nerada pilnīgu izpratni.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iebilduma 1. punktu skaidrojam, ka jūsu uzskaitītās regulas ir ieviestas ar citos gados šajos noteikumos veiktajiem grozījumiem, līdz ar to nav nepieciešams tās norādīt anotācijas 5. sadaļā.  Anotācijas 5. sadaļā ir uzskaitītas vai nu pilnīgi jaunas regulas, vai nu, ja konkrētajā noteikumu punktā līdz šim nav bijusi atsauce uz kādu no norādītajām regulām.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iebilduma 2. punktu anotācija 5.4. punktā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iebilduma 3. punktu projekta vienības anotācijas 5.4. punktā precizētas.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iebilduma 4. punktu anotācija 5.4. punktā pie konkrētās regulas papildināta ar plašāku skaidrojumu.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 apakšpunkta norādi uz grozījumiem Ministru kabineta 2016. gada 20. decembra noteikumu Nr. 812 "Oficiālās statistikas veidlapu paraugu apstiprināšanas un veidlapu aizpildīšanas un iesniegšanas noteikumi" 2.754. apakšpunktu. Vēršam uzmanību, ka minētajos noteikumos nav 2.754.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apakšpunkta norāde uz grozījumiem Ministru kabineta 2016. gada 20. decembra noteikumu Nr. 812 "Oficiālās statistikas veidlapu paraugu apstiprināšanas un veidlapu aizpildīšanas un iesniegšanas noteikumi" 2.754. apakšpunktu, to aizstājot ar 2.75.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anotācijā sniegtās norādes attiecībā uz Padomes 1998. gada 19. maija Regulas (EK) Nr. 1165/98 par īstermiņa statistiku un Eiropas Parlamenta un Padomes 2005. gada 6. jūlija Regulas (EK) Nr. 1158/2005, ar ko groza Padomes Regulu (EK) Nr. 1165/98 par īstermiņa statistiku atsauču svītrošanu no noteikumiem, ņemot vērā, ka abas regulas joprojām ir spēkā esošas un, atbilstoši sniegtajam skaidrojumam, spēku zaudēs tikai 2024. gada 1. janvārī. Lūdzam skaidrot, kāpēc paredzēta tik savlaicīga atsauču svītrošana, norādīt atcelšanas pamatojumu, kā arī uzsvērt, vai tik savlaicīgai atsauču svītrošanai nav potenciāls risks ar no abām regulām izrietošo saistību izpildei.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1.3. punkts, sadaļā "Risinājuma apraksts" 12. punktā. Tik savlaicīga atsauču svītrošana notiek, jo MK 812. noteikumos izmaiņas tiek veiktas vienreiz gadā, kā arī izmaiņu veikšanas process nereti ievelkas līdz gada beigām. Papildus norādām, ka regulu izpilde netiek apdraudēta.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Fizisko personu datu apstrādes likuma 4.panta pirmās daļas 5.punktā noteikto, aicinām projektu saskaņot ar Datu valsts inspekciju.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Piecu dienu saskaņošanā papildus pievienota Datu valsts inspekcija.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10. risinājuma aprakstā, nolūkā uzlabot uztveramību, iesakām skaidri un nepārprotami norādīt, ka ar atsauci uz A pielikumu ir saprotamas atsauces uz Komisijas 2022. gada 28. janvāra Regulas (ES) Nr. 2022/132 ar ko attiecībā uz ikgadējās, ikmēneša un ikmēneša īstermiņa enerģētikas statistikas atjauninājumu īstenošanu groza Eiropas Parlamenta un Padomes Regulu (EK) Nr. 1099/2008 par enerģētikas statistiku A pielikumu.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apakšpunkta 10. risinājuma apraksts.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risinājuma aprakstā iesakām norādīt, ka Eiropas Parlamenta un Padomes 2008. gada 11. marta Regula Nr. 295/2008 par uzņēmējdarbības strukturālo statistiku ir zaudējusi spēku, jo no pašreizējā formulējuma tas nav nepārprotami saprotams. Tāpat lūdzam norādīt konkrētu pamatojumu projekta 14. pielikuma veidlapas atjaunošanai un nepieciešamību turpmākai šo datu vākšanai, pamatojoties uz to, ka Eiropas Savienības tiesību akts uz kura pamata tika ievākta informācija ir zaudējis spēku.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precizēts pamatojums noteikumu projekta 14. pielikuma izmantošanas turpināšanai.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Vairākos risinājuma apraksta punktos, piemēram, 20. punktā minētas Eurostat prasības un regulējumi. Aicinām pēc iespējas minēt konkrētus dokumentus, no kuriem izriet minētās prasības, kā arī konkretizēt prasības, kādas veidlapās ieviestas.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1.3. sadaļā precizēta.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salīdzināt projektā un anotācijā sniegto informāciju, veicot nepieciešamos precizējumus, ņemot vērā, ka, atbilstoši anotācijas skaidrojumam, projekta 26. pielikuma veidlapa nodrošina datu vākšanu, kas izriet no "Komisijas 2023. gada 20. jūlija Īstenošanas Regula (ES) Nr. 2023/1507, ar ko saskaņā ar Eiropas Parlamenta un Padomes Regulu (ES) 2019/2152 tematam “IKT izmantojums un e-komercija” nosaka datu prasību tehniskās specifikācijas un metadatu un kvalitātes ziņojuma iesniegšanas termiņu 2024. pārskata gadam", bet, atbilstoši projekta 13. punktam, tas nodrošina "Eiropas Parlamenta un Padomes Regulas Nr. 2019/2152 </w:t>
            </w:r>
            <w:r w:rsidR="00000000" w:rsidRPr="00000000" w:rsidDel="00000000">
              <w:rPr>
                <w:u w:val="single"/>
                <w:rtl w:val="0"/>
              </w:rPr>
              <w:t xml:space="preserve">un</w:t>
            </w:r>
            <w:r w:rsidR="00000000" w:rsidRPr="00000000" w:rsidDel="00000000">
              <w:rPr>
                <w:rtl w:val="0"/>
              </w:rPr>
              <w:t xml:space="preserve"> Komisijas Īstenošanas Regulas Nr. 2023/1507 prasību piemērošanu". Respektīvi, skaidrojumā minēts tikai viens no projekta 13. punktā norādītajiem Eiropas Savienības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47. 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saīsinājumu "NACE", "IKT", "VIIS", apzīmējumu "CAWI mobile", "Eurostat"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 pielikumā lietot vienotu terminoloģiju, jo paralēli tiek lietots formulējums "aļģes" un "aļģes un ūdens augi". Vienlaicīgi iesakām pārskatīt 1. pielikuma sadaļu numerāciju, kur 3. punktam seko 4.1. apakšpunkts (neparedzot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1. pielikums un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ievērot juridiskās tehnikas prasības arī attiecībā uz to, ka, nepieciešamības gadījumā, saīsinājumu piesaka pirmajā vietā juridiskajā tekstā, kur lietots attiecīgais normatīvā akta nosaukums, tādā veidā izvairoties no vispārinātām atsaucēm uz normatīvajiem aktiem, piemēram, </w:t>
            </w:r>
            <w:r w:rsidR="00000000" w:rsidRPr="00000000" w:rsidDel="00000000">
              <w:rPr>
                <w:rtl w:val="0"/>
              </w:rPr>
              <w:t xml:space="preserve">Komisijas 2020. gada 30. jūlija Īstenošanas Regula (ES) 2020/1197 ar kuru nosaka tehniskās specifikācijas un kārtību saskaņā ar Eiropas Parlamenta un Padomes regulu (ES) 2019/2152 par Eiropas uzņēmējdarbības statistiku, ar ko atceļ 10 tiesību aktus uzņēmējdarbības statistikas jomā</w:t>
            </w:r>
            <w:r w:rsidR="00000000" w:rsidRPr="00000000" w:rsidDel="00000000">
              <w:rPr>
                <w:rtl w:val="0"/>
              </w:rPr>
              <w:t xml:space="preserve"> (turpmāk - Regula 2020/1197).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lūdzam ņemt vērā arī attiecībā uz noteikumu 2.96.punktu un 2.114.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MK noteikumu projekta 2.96. un 2.114. punktu - MK noteikumu projekta 2.96. punktā ir pieteikts regulas saīsinājums, jo tā pati regula atkārtojas 2.114. punktā, kur tā norādīta, izmantojot saīsinājumu.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mājas lapa tiek aizstāts vairākās veidlapās, bet tiek norādīts tikai pie risinājuma apraksta 13. un 15. punkta. Tāpat, vēršam uzmanību, ka, piemēram, risinājuma apraksta 13. punktā to nav nepieciešams norādīt, jo attiecīgajā pielikumā, jau bija ieviests termins "tīmekļa vietne".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risinājuma apraksta 13. punktā.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nepieciešamību veidlapās norādīt konkrētus datumus vai gadus, piemēram, "INTERNETA LIETOŠANA 2024. GADĀ". Vēršam uzmanību, ka no konkrētu datumu un gadu paredzēšanas automātiski izriet, ka veidlapu pēc konkrētā datuma, gada būs nepieciešams atkārtoti aktualizēt, kas nav lietderīgi. Gadījumā, ja tas ir nepieciešams lūdzam risinājuma aprakstā skaidrot šādas nepieciešamības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Gads veidlapas nosaukumā iekļauts, jo IKT ir sfēra , kas dinamiski attīstās, tāpēc veidlapā izmaiņas tiek un arī turpmāk tiks veiktas katru gadu. Kopumā IKT rādītāju klāsts ir ļoti plašs, tāpēc regulējums nenosaka, ka visi temati un rādītāji apsekojumā jāiekļauj katru gadu, bet ,piemēram, ik pa 2 vai 3 gadiem. Šāda pieeja ļauj izvairīties no pārmērīga apsekojuma garumu, kas izraisītu respondentu nevēlēšanos atbildēt un atbilžu kvalitātes zudumu. Kopumā ES regulējums (ikgadējās ieviešanas regulas) nodrošina, ka neaktuālie rādītāji ar laiku vairs netiek iekļauti apsekojumā, savukārt tiek pievienoti jautājumi par jaunām un aktuālām IKT izmantošanas jomām. Tāpat regulējums nodrošina visu to rādītāju vai to veidojošo sastāvdaļu iekļaušanu apsekojumā, kas attiecas un iedzīvotāju IKT lietošanu un tiek izmantoti DESI aprēķināšanai (piemēram iedzīvotāju īpatsvars, kas izmanto internetu sadarbībai ar valsts un pašvaldību institūcijām). Risinājuma aprakstā skaidrots šādas nepieciešamības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apakšpunkta pašreizējās situācijas aprakstu, ņemot vērā, ka šajā sadaļā apraksta šī brīža situāciju, bet pašlaik tajā ir vienkārši ietverta atsauce uz noteikumiem Nr. 812, kas nesniedz nekādu ieskatu, skaidrojumu attiecīgā jautājuma pašreizējā situācijā. Līdzīgi iesakām papildināt arī problēmas apraksta daļu, jo tās redakcija, šķietami pilnībā neatspoguļo problēmjautājumus, kuru risinājums tiek skaidrots anotācijas 1.3. apakšpunkta risinājuma aprakstā.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apakšpunkta pašreizējās situācijas apraksts.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sabiedrības grupas, kuras tiesiskais regulējums ietekmē vai varētu ietekmēt, jo atsevišķas personu grupas uzskaitītas atkārtoti.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personu grupas, kuras projekts var ietekmēt, norādītas gan jaunajām veidlapām, gan svītrojamajām, līdz ar to nav iespējams daļu izņemt ārā, jo tādā gadījumā netiks korekti atspoguļota ekonomiskā ietekme. Jaunās ekonomisko ietekmi palielina, bet svītrojamās - samazina. Tāpat katrai veidlapai ir cits aizpildīšanas ilgums, līdz ar to nebūtu korekti apvienot ietekmējamās sabiedrību grupas, jo netiktu korekti izrēķināta ekonomiskā ietekme.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apakšpunkta papildinājumos ietverto norādi uz to, ka ar projekta 37. un 73. punktu ieviesto datu vākšanas nepieciešamību nosaka Granta līgums “Jauna transporta statistikas izstrāde”, (Granta līguma Nr. 101119289 — 2022-LV-TRANSPORT, projekta identifikācijas kods G-23.01, kas noslēgts ar EUROSTAT, iesakām izvērtēt vai anotācijas 5. daļa nav papildināma ar skaidrojumu par projekta atbilstību starptautiskajām saistībām, kas izriet no konkrētā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veikt vajadzīgos labojumus, papildinājumus.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izvērtēja, vai anotācijas 5. punkts nav papildināms ar skaidrojumu par minētā granta līguma atbilstību starptautiskajām saistībām, un secināja, ka šāds anotācijas papildinājums nav nepieciešams.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apakšpunkta "Komisijas 2022. gada 10. oktobra Deleģētā Regula (ES) Nr. 2023/137 ar kuru groza Eiropas Parlamenta un Padomes Regulu (EK) Nr. 1893/2006, ar ko izveido NACE 2. red. saimniecisko darbību statistisko klasifikāciju (Dokuments attiecas uz EEZ)" sadaļas pirmās divas B ailes, kur </w:t>
            </w:r>
            <w:r w:rsidR="00000000" w:rsidRPr="00000000" w:rsidDel="00000000">
              <w:rPr>
                <w:u w:val="single"/>
                <w:rtl w:val="0"/>
              </w:rPr>
              <w:t xml:space="preserve">norādītas, ka tiek ieviesti anotācijas punkti</w:t>
            </w:r>
            <w:r w:rsidR="00000000" w:rsidRPr="00000000" w:rsidDel="00000000">
              <w:rPr>
                <w:rtl w:val="0"/>
              </w:rPr>
              <w:t xml:space="preserve">. Vēršam uzmanību, ka attiecīgajās ailēs norādāmas projekta vienības, kas ievieš A ailē minēto tiesību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5.4. apakšpunkts pie Komisijas 2022. gada 10. oktobra Deleģētā Regula (ES) Nr. 2023/137 ar kuru groza Eiropas Parlamenta un Padomes Regulu (EK) Nr. 1893/2006, ar ko izveido NACE 2. red. saimniecisko darbību statistisko klasifikāciju (Dokuments attiecas uz EEZ).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- 04.10.2023.)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anotācijas 5. daļu. Ņemot vērā izziņā sniegto skaidrojumu par to, ka uzskaitītās Eiropas Savienības tiesību normas ir ieviestas ar citos gados šajos noteikumos veiktajiem grozījumiem, līdz ar to nav nepieciešams tās norādīt anotācijas 5. daļā, iesakām ieviest analoģisku precizējumu anotācijas 5. daļas tabulas "Eiropas Parlamenta un Padomes 2019. gada 27. novembra Regula(ES) Nr. 2019/2152 par Eiropas uzņēmējdarbības statistiku, ar ko atceļ 10 tiesību aktus uzņēmējdarbības statistikas jomā" sadaļas papildinājumam, uzsverot, ka iepriekš ieviestās regulas vienības netiek mainītas, ietekmētas vai nepārņemtas.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veidlapa Nr. 2-EU-SILC "Statistika par ienākumiem un dzīves apstākļiem", kura nodrošina arī Eiropas Parlamenta un Padomes Regulas Nr. </w:t>
            </w:r>
            <w:r w:rsidR="00000000" w:rsidRPr="00000000" w:rsidDel="00000000">
              <w:rPr>
                <w:rtl w:val="0"/>
              </w:rPr>
              <w:t xml:space="preserve">2019/1700</w:t>
            </w:r>
            <w:r w:rsidR="00000000" w:rsidRPr="00000000" w:rsidDel="00000000">
              <w:rPr>
                <w:rtl w:val="0"/>
              </w:rPr>
              <w:t xml:space="preserve"> un Komisijas Īstenošanas regulas Nr. </w:t>
            </w:r>
            <w:r w:rsidR="00000000" w:rsidRPr="00000000" w:rsidDel="00000000">
              <w:rPr>
                <w:rtl w:val="0"/>
              </w:rPr>
              <w:t xml:space="preserve">2019/2242</w:t>
            </w:r>
            <w:r w:rsidR="00000000" w:rsidRPr="00000000" w:rsidDel="00000000">
              <w:rPr>
                <w:rtl w:val="0"/>
              </w:rPr>
              <w:t xml:space="preserve"> prasību piemērošanu (</w:t>
            </w:r>
            <w:r w:rsidR="00000000" w:rsidRPr="00000000" w:rsidDel="00000000">
              <w:rPr>
                <w:rtl w:val="0"/>
              </w:rPr>
              <w:t xml:space="preserve">111.</w:t>
            </w:r>
            <w:r w:rsidR="00000000" w:rsidRPr="00000000" w:rsidDel="00000000">
              <w:rPr>
                <w:rtl w:val="0"/>
              </w:rPr>
              <w:t xml:space="preserve"> 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veidlapas Nr. 2-EU-SILC "Statistika par ienākumiem un dzīves apstākļiem" 51. jautājuma atbilžu variantu "6. Palielinājās sociālie pabalsti", papildinot to ar norādi, ka zem sociālajiem pabalstiem tiek ietvertas arī pensijas (skat. piedāvāto redakciju).  Mūsuprāt, tādējādi atbilžu variants ļautu respondentam vieglāk identificēt situācijas, kad palielinājies ne tikai valsts vai pašvaldību sociālo pabalstu apmērs, bet pensijas apmērs, piemēram indeksācijas vai pārrēķina gadījumā.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variants "6. Palielinājās sociālie pabalsti </w:t>
            </w:r>
            <w:r w:rsidR="00000000" w:rsidRPr="00000000" w:rsidDel="00000000">
              <w:rPr>
                <w:i w:val="1"/>
                <w:rtl w:val="0"/>
              </w:rPr>
              <w:t xml:space="preserve">(t.sk. pensijas)".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2-EU-SILC veidlapa.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veidlapa Nr. 2-EU-SILC "Statistika par ienākumiem un dzīves apstākļiem", kura nodrošina arī Eiropas Parlamenta un Padomes Regulas Nr. </w:t>
            </w:r>
            <w:r w:rsidR="00000000" w:rsidRPr="00000000" w:rsidDel="00000000">
              <w:rPr>
                <w:rtl w:val="0"/>
              </w:rPr>
              <w:t xml:space="preserve">2019/1700</w:t>
            </w:r>
            <w:r w:rsidR="00000000" w:rsidRPr="00000000" w:rsidDel="00000000">
              <w:rPr>
                <w:rtl w:val="0"/>
              </w:rPr>
              <w:t xml:space="preserve"> un Komisijas Īstenošanas regulas Nr. </w:t>
            </w:r>
            <w:r w:rsidR="00000000" w:rsidRPr="00000000" w:rsidDel="00000000">
              <w:rPr>
                <w:rtl w:val="0"/>
              </w:rPr>
              <w:t xml:space="preserve">2019/2242</w:t>
            </w:r>
            <w:r w:rsidR="00000000" w:rsidRPr="00000000" w:rsidDel="00000000">
              <w:rPr>
                <w:rtl w:val="0"/>
              </w:rPr>
              <w:t xml:space="preserve"> prasību piemērošanu (</w:t>
            </w:r>
            <w:r w:rsidR="00000000" w:rsidRPr="00000000" w:rsidDel="00000000">
              <w:rPr>
                <w:rtl w:val="0"/>
              </w:rPr>
              <w:t xml:space="preserve">111.</w:t>
            </w:r>
            <w:r w:rsidR="00000000" w:rsidRPr="00000000" w:rsidDel="00000000">
              <w:rPr>
                <w:rtl w:val="0"/>
              </w:rPr>
              <w:t xml:space="preserve"> 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2.166. veidlapa Nr. 4-EU-SILC (2024) “Pakalpojumu pieejamība, bērnu veselība un materiālā nenodrošinātība”, kura nodrošina arī Eiropas Parlamenta un Padomes Regulas Nr. 2019/1700, Komisijas Īstenošanas regulas Nr. 2019/2242 un Komisijas 2022. gada 9. decembra Īstenošanas Regulas (ES) Nr. </w:t>
            </w:r>
            <w:r w:rsidR="00000000" w:rsidRPr="00000000" w:rsidDel="00000000">
              <w:rPr>
                <w:rtl w:val="0"/>
              </w:rPr>
              <w:t xml:space="preserve">2022/2498</w:t>
            </w:r>
            <w:r w:rsidR="00000000" w:rsidRPr="00000000" w:rsidDel="00000000">
              <w:rPr>
                <w:rtl w:val="0"/>
              </w:rPr>
              <w:t xml:space="preserve"> ar ko saskaņā ar Eiropas Parlamenta un Padomes Regulu (ES) 2019/1700 precizē izlases apsekojuma ienākumu un dzīves apstākļu jomā datu kopu par pakalpojumu pieejamību tehniskos aspektus (Dokuments attiecas uz EEZ), prasību piemērošanu (</w:t>
            </w:r>
            <w:r w:rsidR="00000000" w:rsidRPr="00000000" w:rsidDel="00000000">
              <w:rPr>
                <w:rtl w:val="0"/>
              </w:rPr>
              <w:t xml:space="preserve">166.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veidlapā "Nr. 4-EU-SILC (2024) "Pakalpojumu pieejamība, bērnu veselība un materiālā nenodrošinātība" sadaļā "Tiesības uz sociālajiem pabalstiem. Diskriminējošas situācijas" tekstam “Tālāk sekos jautājumi par tiesībām uz sociālajiem pabalstiem un daži jautājumi saistībā ar diskriminācijas situācijām" pievienot papildus skaidrojumu par to, kas ir diskriminācija saskaņā ar Eurostat sagatavoto metodoloģisko aprakstu (</w:t>
            </w:r>
            <w:r w:rsidR="00000000" w:rsidRPr="00000000" w:rsidDel="00000000">
              <w:rPr>
                <w:i w:val="1"/>
                <w:rtl w:val="0"/>
              </w:rPr>
              <w:t xml:space="preserve">“Diskriminācija ir negodīga vai aizspriedumaina attieksme pret cilvēku vai cilvēku grupām, balstoties uz tādām pazīmēm kā rase, dzimums, vecums, seksuālā orientācija, invaliditāte utt.”</w:t>
            </w:r>
            <w:r w:rsidR="00000000" w:rsidRPr="00000000" w:rsidDel="00000000">
              <w:rPr>
                <w:rtl w:val="0"/>
              </w:rPr>
              <w:t xml:space="preserve">). Diskriminācijas jēdziena skaidrojums sniegtu iespēju respondentiem labāk izprast un objektīvāk novērtēt problēmsituācijas, kuras varētu tikt vērtētas kā saskarsme ar diskrimināciju. Minētais skaidrojums varētu būt īpaši lietderīgs, ņemot vērā, ka veidlapu būs iespējams aizpildīt internetā arī respondentam pašam bez intervētāja klātbūtnes.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sekos jautājumi par tiesībām uz sociālajiem pabalstiem un daži jautājumi saistībā ar diskriminācijas situācijām. Diskriminācija ir negodīga vai aizspriedumaina attieksme pret cilvēku vai cilvēku grupām, balstoties uz tādām pazīmēm kā rase, dzimums, vecums, seksuālā orientācija, invaliditāte utt.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4-EU-SILC veidlapa.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2.166. veidlapa Nr. 4-EU-SILC (2024) “Pakalpojumu pieejamība, bērnu veselība un materiālā nenodrošinātība”, kura nodrošina arī Eiropas Parlamenta un Padomes Regulas Nr. 2019/1700, Komisijas Īstenošanas regulas Nr. 2019/2242 un Komisijas 2022. gada 9. decembra Īstenošanas Regulas (ES) Nr. </w:t>
            </w:r>
            <w:r w:rsidR="00000000" w:rsidRPr="00000000" w:rsidDel="00000000">
              <w:rPr>
                <w:rtl w:val="0"/>
              </w:rPr>
              <w:t xml:space="preserve">2022/2498</w:t>
            </w:r>
            <w:r w:rsidR="00000000" w:rsidRPr="00000000" w:rsidDel="00000000">
              <w:rPr>
                <w:rtl w:val="0"/>
              </w:rPr>
              <w:t xml:space="preserve"> ar ko saskaņā ar Eiropas Parlamenta un Padomes Regulu (ES) 2019/1700 precizē izlases apsekojuma ienākumu un dzīves apstākļu jomā datu kopu par pakalpojumu pieejamību tehniskos aspektus (Dokuments attiecas uz EEZ), prasību piemērošanu (</w:t>
            </w:r>
            <w:r w:rsidR="00000000" w:rsidRPr="00000000" w:rsidDel="00000000">
              <w:rPr>
                <w:rtl w:val="0"/>
              </w:rPr>
              <w:t xml:space="preserve">166. </w:t>
            </w:r>
            <w:r w:rsidR="00000000" w:rsidRPr="00000000" w:rsidDel="00000000">
              <w:rPr>
                <w:rtl w:val="0"/>
              </w:rPr>
              <w:t xml:space="preserve">pielikums</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2.169. veidlapa Nr. 2-DSA (2024) "Jaunieši darba tirgū", kura nodoršina arī Eiropas Parlamenta un Padomes Regulas Nr. 2019/1700 un Komisijas 2022. gada 25. novembra Īstenošanas Regulas (ES) Nr. 2022/2312 par darbaspēka jomas detalizēto tematu “jaunieši darba tirgū”, “izglītības līmenis – sīka informācija, tostarp pārtraukta vai izbeigta izglītība” un “darba un ģimenes dzīves saskaņošana” astoņu gadu mainīgajiem lielumiem saskaņā ar Eiropas Parlamenta un Padomes Regulu (ES) 2019/1700 prasību piemērošanu (</w:t>
            </w:r>
            <w:r w:rsidR="00000000" w:rsidRPr="00000000" w:rsidDel="00000000">
              <w:rPr>
                <w:rtl w:val="0"/>
              </w:rPr>
              <w:t xml:space="preserve">169.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- 04.09.2023.)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gramatisko kļūdu, vārdu "nodoršina" aizstājot ar "nodrošina".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Gramatikas kļūda novērsta.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2.169. veidlapa Nr. 2-DSA (2024) "Jaunieši darba tirgū", kura nodrošina arī Eiropas Parlamenta un Padomes Regulas Nr. 2019/1700 un Komisijas 2022. gada 25. novembra Īstenošanas Regulas (ES) Nr. 2022/2312 par darbaspēka jomas detalizēto tematu “jaunieši darba tirgū”, “izglītības līmenis – sīka informācija, tostarp pārtraukta vai izbeigta izglītība” un “darba un ģimenes dzīves saskaņošana” astoņu gadu mainīgajiem lielumiem saskaņā ar Eiropas Parlamenta un Padomes Regulu (ES) 2019/1700 prasību piemērošanu (</w:t>
            </w:r>
            <w:r w:rsidR="00000000" w:rsidRPr="00000000" w:rsidDel="00000000">
              <w:rPr>
                <w:rtl w:val="0"/>
              </w:rPr>
              <w:t xml:space="preserve">169. </w:t>
            </w:r>
            <w:r w:rsidR="00000000" w:rsidRPr="00000000" w:rsidDel="00000000">
              <w:rPr>
                <w:rtl w:val="0"/>
              </w:rPr>
              <w:t xml:space="preserve">pielikums</w:t>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23-TA-1682</w:t>
    </w:r>
    <w:r>
      <w:br/>
    </w:r>
    <w:r w:rsidR="00000000" w:rsidRPr="00000000" w:rsidDel="00000000">
      <w:rPr>
        <w:rtl w:val="0"/>
      </w:rPr>
      <w:t xml:space="preserve">16.10.2023. 16.37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23-TA-1682</w:t>
    </w:r>
    <w:r>
      <w:br/>
    </w:r>
    <w:r w:rsidR="00000000" w:rsidRPr="00000000" w:rsidDel="00000000">
      <w:rPr>
        <w:rtl w:val="0"/>
      </w:rPr>
      <w:t xml:space="preserve">16.10.2023. 16.37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Izziņa_23-TA-1682.docx</dc:title>
</cp:coreProperties>
</file>

<file path=docProps/custom.xml><?xml version="1.0" encoding="utf-8"?>
<Properties xmlns="http://schemas.openxmlformats.org/officeDocument/2006/custom-properties" xmlns:vt="http://schemas.openxmlformats.org/officeDocument/2006/docPropsVTypes"/>
</file>