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23-TA-3321: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(19.07.2023.)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 gada plānošanas perioda vadības likuma 19. panta 2., 6. un 13.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deleģējumā svītrot atsauci uz Eiropas Savienības fondu 2021.–2027. gada plānošanas perioda vadības likuma 19. panta </w:t>
            </w:r>
            <w:r w:rsidR="00000000" w:rsidRPr="00000000" w:rsidDel="00000000">
              <w:rPr>
                <w:u w:val="single"/>
                <w:rtl w:val="0"/>
              </w:rPr>
              <w:t xml:space="preserve">2.punktu</w:t>
            </w:r>
            <w:r w:rsidR="00000000" w:rsidRPr="00000000" w:rsidDel="00000000">
              <w:rPr>
                <w:rtl w:val="0"/>
              </w:rPr>
              <w:t xml:space="preserve">, jo vēršam uzmanību, ka minētais deleģējums ir Ministru kabineta 2023. gada 13. jūlija noteikumu Nr. 408 "Kārtība, kādā Eiropas Savienības fondu vadībā iesaistītās institūcijas nodrošina šo fondu ieviešanu 2021.-2027. gada plānošanas periodā" izdošanas pamats, nevis Ministru kabineta noteikumu par specifiskā atbalsta mērķa īstenošanu izstrādes deleģējums.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atsauce uz 19.panta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5.4.sadaļas Tiesību akta projekta atbilstības izvērtējumu ES tiesību aktiem attiecībā uz visiem noteikumu projekta punktiem, kas saistīti ar Komisijas regulas Nr.2023/2831 nosacījumiem. Vienlaikus lūdzam ņemt vērā, ka noteikumu projektā ietvertais nosacījums par dokumentu glabāšanu ir stingrāks kā Komisijas regulas Nr.2023/2831 6.3.apakšpunktā un būtu sasaistāms arī ar Komisijas regulas Nr.2023/2831 6.7.apakšpunktu.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atsauce uz dokumentu glabāšanu, nosakot, ka paredz stingrākas prasības. Regulas ir tieši piemērojamas, līdz ar to 5.4. sadaļā nav nepieciešams ietvert visas atsauces uz noteikumu projekta punktiem, kas saistīti ar Komisijas regulas Nr.2023/2831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Finansējuma saņēmējs un gala labuma guvējs nodrošina informācijas pieejamību 10 gadus, skaitot no atbalsta piešķiršanas dienas, atbilstoši Komisijas regulas Nr. 2023/2831 6. panta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regulas Nr.2023/2831 6.panta 3.punkts nosaka, ka "Dalībvalstis reģistrēto informāciju par de minimis atbalstu glabā 10 gadus no atbalsta piešķiršanas dienas", taču vienlaikus Komisijas regulas Nr.2023/2831 6.panta 7.punkts nosaka, ka “pēc rakstiska Komisijas pieprasījuma attiecīgā dalībvalsts 20 darbdienu laikā vai tādā ilgākā laikposmā, kāds noteikts pieprasījumā, sniedz Komisijai visu informāciju, kuru Komisija uzskata par vajadzīgu, lai novērtētu, vai šīs regulas nosacījumi ir izpildīti, un jo īpaši informāciju par uzņēmuma saņemto de minimis atbalsta kopsummu šīs regulas un citu de minimis regulu nozīmē”, pastāv gadījumi, ka Eiropas Komisija, ievērojot Padomes Regulā (ES) 2015/1589 (2015. gada 13. jūlijs), ar ko nosaka sīki izstrādātus noteikumus Līguma par Eiropas Savienības darbību 108.panta piemērošanai (kodificēta redakcija) (jeb Procesuālā regula) noteikto 10 gadu noilguma periodu saistībā ar nelikumīga un nesaderīga komercdarbības atbalsta atgūšanu, var pieprasīt dalībvalstīm iesniegt informāciju, kas pārsniedz Komisijas regulas Nr.2023/2831 6.panta 1.punktā ietverto informācijas apjomu, lūdzam papildināt noteikumu projekta 82.punktā minēto atsauci uz Komisijas regulas Nr.2023/2831 6.panta 3.punktu ar atsauci uz Komisijas regulas Nr.2023/2831 6.panta 7.punktu, vai arī dzēst atsauci uz  Komisijas regulas Nr.2023/2831 6.panta 3.punktu, atstājot vienkārši nosacījumu par pienākumu glabāt informāciju 10 gadus, neatsaucoties uz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svītrota atsauce uz regulu, vienlaikus anotācijas 5.4. sadaļā noteikts, ka tiek paredzētas stingrākas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Finansējuma saņēmējs un gala labuma guvējs nodrošina informācijas pieejamību 10 gadus, skaitot no atbalsta piešķiršanas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13. jūlija noteikumos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veikti grozījumi Ministru kabineta 2023. gada 13. jūlija noteikumu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(turpmāk - noteikumi) spēkā esošajā redakcijā, lūdzam izvērtēt, vai noteikumu projekts nebūtu papildināms ar grozījumiem noteikumu 70.1.apakšpunktā.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šajā apakšpunktā minētā Eiropas Parlamenta un Padomes 2014. gada 26. februāra Direktīva Nr. 2014/24/ES par publisko iepirkumu un ar ko atceļ Direktīvu 2004/18/EK, nacionālajā regulējumā ir pārņemta ar Publisko iepirkumu likumu, līdz ar to šāda atsauce uz minētās direktīvas prasību ievērošanu nav korekta, kā arī var radīt tiesisko nenoteiktību, praksē piemērojot noteikumus, jo ES direktīvu prasības pēc būtības nav tieši piemērojamas, bet gan pārņemamas nacionālajos tiesību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aizstājot direktīvu ar Publisko iepirkumu 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lūdz sniegt detalizētāku pamatojumu papildus rādītāju iekļaušanai, par kuriem Finansējuma saņēmējam jāuzkrāj informācija Kohēzijas politikas fondu vadības informācijas sistēmā vismaz 2 reizes gadā. LDDK ieskatā tas būs ievērojams papildu slogs projektu īstenotājiem. Šobrīd anotācijā ir norādīts, ka šāda informācija ir jāsniedz, bet nav sniegts detalizēts pamatojums.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Skaidroajm, ka 1.2.3.1. pasākumas "Atbalsts MVU inovatīvas uzņēmējdarbības attīstībai" ir izstrādāts, balstoties uz Eiropas Savienības kohēzijas politikas programmu 2021.–2027.gadam, kas savukārt ir balstīta tajā skaitā uz Viedās specializācijas stratēģiju, kā arī Nacionālās industriālās politikas pamatnostādnēm 2021.-2027. gadam, Ekonomikas ministrijai kā atbildīgai iestādei ir pienākums veikt RIS3 datu monitoringu, līdz ar to ar MK noteikumu projektu tiek noteikta RIS3 rādītāju uzkrāšana.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palielināta de minimis atbalsta kopsumma, kas saskaņā ar Komisijas Regulas Nr. 2023/2831 3.panta otro daļu var sasniegt 300 000 euro apmēru, lūdzam sniegt skaidrojumu, vai šis palielinājums rada ietekmi uz noteikumu 8., 9. un 10.punktā noteiktiem rādītājiem. Attiecīgi lūdzam pārskatīt 1.2.3.SAM rādītāju pasē sniegtos rādītāju aprēķinus un nepieciešamības gadījumā iesniegt grozījumu priekšlikumus Eiropas Savienības kohēzijas politikas programmai 2021.–2027.gadam.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atbalsta sliekšņa palielinājums neietekmē MK noteikumu 8.,9.,10 noteiktos rādītājus. Vienlaikus informējam, ka rādītāju pase nav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4.apakšsadaļā "Biznesa inkubācijas komersantu vērtēšanas komisijas izmaiņas" ir sniegta informācija par izmaiņām vērtēšanas komisijas sastāvā, norādot, ka komersantu organizācijas pārstāvi var nomainīt vai papildināt ar finanšu institūcijas pārstāvi un uzņēmumu pārstāvi. Aicinām papildināt šo informāciju, ka finanšu institūcijas un uzņēmumu pārstāvjiem ir jāievēro interešu konflikta novēršanas prasības, nodrošinot, ka pārstāvēto finanšu institūciju, uzņēmumu vai to saistīto personu projektu iesniegumi netiek izskatīti šo ekspertu klātbūtnē, tāpat jānorāda, ka šie eksperti nevar ietekmēt citu komisijas locekļu viedokli.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Komisijas 2013.gada 18.decembra Regula Nr.1407/2013 par Līguma par Eiropas Savienības darbību 107.un 108.panta piemērošanu de minimis atbalstam (turpmāk – Komisijas Regula Nr.1407/2013) ir piemērojama līdz 2023.gada 31.decembrim, taču saskaņā ar Komisijas Regulas Nr.1407/2013 7.panta 4.punktu, pēc šīs regulas spēkā esības perioda beigām jebkurai de minimis atbalsta shēmai, kas atbilst šīs regulas nosacījumiem, šī regula ir piemērojama vēl sešus turpmākos mēnešus, lūdzam precizēt anotācijas 1.3.sadaļā sniegto informāciju, kas saistīta ar Komisijas Regulas Nr.1407/2013 darbību "Komisijas 2013.gada 18.decembra Regula (ES) Nr.1407/2013 par Līguma par Eiropas Savienības darbību 107.un 108.panta piemērošanu de minimis atbalstam (Eiropas Savienības Oficiālais Vēstnesis, 2013.gada 24.decembris, Nr. L 352/1) (turpmāk – Komisijas Regula Nr.1407/2013) ar 2023.gada 31.decembri izbeidz savu darbību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Regula vēl ir piemērojama turpmākos sešus mēnešus.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apakšsadaļas "Risinājuma apraksts" 6. punktā "Tehniskie grozījumi" ir iekļauta informācija, ka noteikumu projekts ietekmēs tikai jaunus gala labuma guvēju pieteikumus. Lūdzam papildināt ar skaidrojumu, kāda būs minētā ietekme, un kāpēc neietekmēs gala labuma guvējus eksporta veicināšanas aktivitātē, kuri būs pieteikušies līdz noteikumu projekta spēkā stāšanās brīdim.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ka MK noteikumu projekts attiecībā uz de minimis eksporta veicināšanas aktivitātē paredz labvēlīgākas normas gala labuma guvējiem. Ar projektiem, kuru lēmums tiek pieņemts no 2024. gada 1. janvāra, tiek pieņemts lēmums jau ar jauno de minimis atbalsta slieksni 300 000 EUR apmērā. MK noteikumu projekts neietekmē gala labuma guvējus biznesa inkubācijas un inovāciju motivācijas aktivitātē, jo atbalsta sniegšana, t.sk. uzsaukums, vēl nav uzsākta.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Vienkāršoto izmaksu vienotā izmaksu likme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minētajām personāla atlīdzības izmaksām ir 20 procentu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tostarp ievērojot anotācijas 1.3. sadaļas apakšsadaļas "Risinājuma apraksts" 6. punktā "Tehniskie grozījumi" minēto, atkārtoti lūdzam Ministru kabineta 2023. gada 13. jūlija noteikumu Nr. 407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 īstenošanas noteikumi" 21. punktā aizstāt vārdus "minētajām personāla atlīdzības izmaksām" ar vārdiem "minētajām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19.1. un 19.2. apakšpunktā minētajām personāla izmaksām tiek piemērota vienotā likme 20 procentu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19.1.</w:t>
            </w:r>
            <w:r w:rsidR="00000000" w:rsidRPr="00000000" w:rsidDel="00000000">
              <w:rPr>
                <w:shd w:fill="#ffffff" w:val="clear"/>
                <w:rtl w:val="0"/>
              </w:rPr>
              <w:t xml:space="preserve"> un </w:t>
            </w:r>
            <w:r w:rsidR="00000000" w:rsidRPr="00000000" w:rsidDel="00000000">
              <w:rPr>
                <w:rtl w:val="0"/>
              </w:rPr>
              <w:t xml:space="preserve">19.2.</w:t>
            </w:r>
            <w:r w:rsidR="00000000" w:rsidRPr="00000000" w:rsidDel="00000000">
              <w:rPr>
                <w:rtl w:val="0"/>
              </w:rPr>
              <w:t xml:space="preserve"> apakšpunktā minētajām personāla izmaksām tiek piemērota vienotā likme 20 procentu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Vienkāršoto izmaksu vienotā izmaksu likme šo noteikumu </w:t>
            </w:r>
            <w:r w:rsidR="00000000" w:rsidRPr="00000000" w:rsidDel="00000000">
              <w:rPr>
                <w:rtl w:val="0"/>
              </w:rPr>
              <w:t xml:space="preserve">19.1.</w:t>
            </w:r>
            <w:r w:rsidR="00000000" w:rsidRPr="00000000" w:rsidDel="00000000">
              <w:rPr>
                <w:rtl w:val="0"/>
              </w:rPr>
              <w:t xml:space="preserve"> un </w:t>
            </w:r>
            <w:r w:rsidR="00000000" w:rsidRPr="00000000" w:rsidDel="00000000">
              <w:rPr>
                <w:rtl w:val="0"/>
              </w:rPr>
              <w:t xml:space="preserve">19.2.</w:t>
            </w:r>
            <w:r w:rsidR="00000000" w:rsidRPr="00000000" w:rsidDel="00000000">
              <w:rPr>
                <w:rtl w:val="0"/>
              </w:rPr>
              <w:t xml:space="preserve"> apakšpunktā minētajām personāla atlīdzības izmaksām ir 20 procentu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1.3. sadaļas apakšsadaļas "Risinājuma apraksts" 6. punktā "Tehniskie grozījumi" norādīts, ka normas interpretācijas riska novēršanai noteikumu 21. punktā svītrots vārds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vārds "atlīdzības" noteikumu Nr. 407 21. punktā minēts divas reizes, attiecīgi lūdzam aizstāt noteikumu Nr. 407 21. punktā arī vārdus "minētajām personāla atlīdzības izmaksām" ar vārdiem "minētajām personāla izmaksām", 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un noteikumos Nr. 407 lietoto terminoloģiju.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norādot, ka normas interpretācijas riska novēršanai MK noteikumu Nr. 407 21. punktā aizstājot vārdus "minētajām personāla atlīdzības izmaksām" ar vārdiem "minētajām personāla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Šo noteikumu </w:t>
            </w:r>
            <w:r w:rsidR="00000000" w:rsidRPr="00000000" w:rsidDel="00000000">
              <w:rPr>
                <w:rtl w:val="0"/>
              </w:rPr>
              <w:t xml:space="preserve">19.1.</w:t>
            </w:r>
            <w:r w:rsidR="00000000" w:rsidRPr="00000000" w:rsidDel="00000000">
              <w:rPr>
                <w:shd w:fill="#ffffff" w:val="clear"/>
                <w:rtl w:val="0"/>
              </w:rPr>
              <w:t xml:space="preserve"> un </w:t>
            </w:r>
            <w:r w:rsidR="00000000" w:rsidRPr="00000000" w:rsidDel="00000000">
              <w:rPr>
                <w:rtl w:val="0"/>
              </w:rPr>
              <w:t xml:space="preserve">19.2.</w:t>
            </w:r>
            <w:r w:rsidR="00000000" w:rsidRPr="00000000" w:rsidDel="00000000">
              <w:rPr>
                <w:rtl w:val="0"/>
              </w:rPr>
              <w:t xml:space="preserve"> apakšpunktā minētajām personāla izmaksām tiek piemērota vienotā likme 20 procentu apmērā no pārējām tiešajām attiecināmajām izmaksām, neieskaitot personāla izmaksas, atbilstoši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Ja komersants neatbilst minētajam nosacījumam, finansējuma saņēmējs atbalstu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18.panta pirmās daļas 8.punkts noteic pienākumu nodokļu administrācijai nodrošināt nodokļu (nodevu) iekasēšanas publiskumu, regulāri publicējot informāciju par atsevišķu nodokļu (nodevu) kopieņēmumiem, un informācijas pieejamību par tiem nodokļu maksātājiem, kuriem Valsts ieņēmumu dienesta administrēto nodokļu (nodevu) parāda kopsumma pārsniedz 150 euro, izņemot nodokļu maksājumus, kuru maksāšanas termiņš saskaņā ar šā likuma 24.panta pirmo, 1.3 un 1.7 daļu ir pagarināts, sadalīts termiņos, atlikts vai atkārtoti sadalīts termiņos vai attiecībā uz kuriem ir noslēgts vienošanās līgums saskaņā ar šā likuma 41. pantu. Informāciju par minētajiem parādniekiem iekļauj Valsts ieņēmumu dienesta administrēto nodokļu (nodevu) parādnieku datubāzē un tās pieejamību nodrošina, ievērojot šā likuma 22.panta pirmās daļas 1.punktā un trešajā daļā minētos nosacījumus. Savukārt šī panta piektā daļa noteic, ka šā panta pirmās daļas 8.punktā minētā informācija par nodokļu maksātājiem, kuriem Valsts ieņēmumu dienesta administrēto nodokļu (nodevu) parāda kopsumma pārsniedz 150 euro, ir pieejama normatīvajos aktos noteikto tiešās pārvaldes iestāžu un pašvaldību funkciju izpildes nodrošināšanai, komercdarbības vides drošības, godīgas konkurences un labprātīgas nodokļu (nodevu) saistību izpildes veicināšanai. Šā panta pirmās daļas 8.punktā minētajā datubāzē var saņemt informāciju par personas parāda esamību vai neesamību, ievadot attiecīgā nodokļu maksātāja nosaukumu un reģistrācijas kodu vai fiziskās personas — saimnieciskās darbības veicēja — vārdu, uzvārdu un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Valsts ieņēmumu dienesta Publiskojamo datu bāzē ir pieejama informācija tikai par fizisko personu, kuras ir reģistrētas kā saimnieciskās darbības veicēji nodokļu parādiem.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2.2. punkta un 63.punta savstarpējo korelāciju un nepieciešamības gadījumā precizēt tiesisko regulējumu, to saskaņojot ar Valsts ieņēmumu dienesta Publiskojamo datu bāzē pieejamo informāciju par nodokļu parādiem.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Ja komersants neatbilst minētajam nosacījumam, finansējuma saņēmējs atbalstu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Ja komersants neatbilst minētajam nosacījumam, finansējuma saņēmējs atbalstu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30.jūnijā stājās spēkā likums"Grozījumi likumā "Par nodokļiem un nodevām"", ar kuru grozīta likuma "Par nodokļiem un nodevām" 18.panta pirmās daļas 8.punkta redakcija, nosakot, ka par nodokļu parādu neuzskata arī tādus nodokļu maksājumus, attiecībā uz kuriem ir noslēgts vienošanās līgums saskaņā ar šā likuma 41. pantu. Līdz ar to Valsts ieņēmumu dienesta administrēto nodokļu (nodevu) parādnieku datubāzē saskaņā ar likuma “Par nodokļiem un nodevām” 18. panta pirmās daļas 8.punktu maksājumi attiecībā uz kuriem ir noslēgts vienošanās līgums saskaņā ar šā likuma 41. pantu netiek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noteikumu projektu ar jaunu punktu, kas paredz izteikt 63.punktu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pirms de minimis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w:t>
            </w:r>
            <w:r w:rsidR="00000000" w:rsidRPr="00000000" w:rsidDel="00000000">
              <w:rPr>
                <w:b w:val="1"/>
                <w:rtl w:val="0"/>
              </w:rPr>
              <w:t xml:space="preserve">vai attiecībā uz kuriem ir noslēgts vienošanās līgums saskaņā ar šā likuma 41. pantu</w:t>
            </w:r>
            <w:r w:rsidR="00000000" w:rsidRPr="00000000" w:rsidDel="00000000">
              <w:rPr>
                <w:rtl w:val="0"/>
              </w:rPr>
              <w:t xml:space="preserve">. Ja komersants neatbilst minētajam nosacījumam, finansējuma saņēmējs atbalstu nepiešķir.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MK noteikumu projekts ar jauno redakciju.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Finansējuma saņēmējs pirms </w:t>
            </w:r>
            <w:r w:rsidR="00000000" w:rsidRPr="00000000" w:rsidDel="00000000">
              <w:rPr>
                <w:i w:val="1"/>
                <w:rtl w:val="0"/>
              </w:rPr>
              <w:t xml:space="preserve">de minimis</w:t>
            </w:r>
            <w:r w:rsidR="00000000" w:rsidRPr="00000000" w:rsidDel="00000000">
              <w:rPr>
                <w:rtl w:val="0"/>
              </w:rPr>
              <w:t xml:space="preserve"> atbalsta piešķiršanas pārbauda, vai gala labuma guvējam saskaņā ar Valsts ieņēmumu dienesta administrēto nodokļu (nodevu) parādnieku datubāzē pieejamo informāciju nav nodokļu vai nodevu parādu, tai skaitā valsts sociālās apdrošināšanas obligāto iemaksu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 Ja komersants neatbilst minētajam nosacījumam, finansējuma saņēmējs atbalstu nepiešķir.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69.5. atbalstu saņēmušo gala labuma guvēju piesaistīto investīciju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kāpēc tiek aizstāta šo noteikumu 69.5.punktā noteiktā iesniedzamā informācija "radīto augstas pievienotās vērtības produktu skaitu", proti, šī informācija vairs netiek norādīta kā iesniedzama.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zem RIS3 rādītājiem ir jaunradītie produkti (preces un pakalpojumi, kas nav tehnoloģijas). Ekonomikas ministrijas izpratnē šis rādītājs dublēja informācijas uzkrāšanu par "radīto augstas pievienotās vērtības produktu skaitu", līdz ar to minētā informācija tika dzēsta.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69.5. atbalstu saņēmušo gala labuma guvēju piesaistīto investīciju apjomu;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tas ir informēts par Publisko iepirkumu likuma, Komisijas regulas Nr. 2018/1046, likuma "Par interešu konflikta novēršanu valsts amatpersonu darbībā" un Eiropas Komisijas 2021. gada 9.aprīļa paziņojuma Nr. C/2021/2119 norādījumu par izvairīšanos no interešu konfliktiem un to pārvaldību saskaņā ar Finanšu regulu un apņemas to ievērot;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70.1. apakšpunktā norādīta atsauce uz nesaistošu dokumentu (paziņojumu). Ņemot vērā minēto, lūdzam noteikumu projekta punktā svītrot atsauci uz nesaistošiem dokumentiem (paziņojumu) un minēto informāciju lūdzam norādīt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 dzēsta atsauce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70.1. tas ir informēts par Publisko iepirkumu likuma, Komisijas regulas Nr. 2018/1046, likuma "Par interešu konflikta novēršanu valsts amatpersonu darbībā" norādījumu par izvairīšanos no interešu konfliktiem un to pārvaldību saskaņā ar Finanšu regulu un apņemas to ievērot;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23-TA-3321</w:t>
    </w:r>
    <w:r>
      <w:br/>
    </w:r>
    <w:r w:rsidR="00000000" w:rsidRPr="00000000" w:rsidDel="00000000">
      <w:rPr>
        <w:rtl w:val="0"/>
      </w:rPr>
      <w:t xml:space="preserve">14.02.2024. 16.21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23-TA-3321</w:t>
    </w:r>
    <w:r>
      <w:br/>
    </w:r>
    <w:r w:rsidR="00000000" w:rsidRPr="00000000" w:rsidDel="00000000">
      <w:rPr>
        <w:rtl w:val="0"/>
      </w:rPr>
      <w:t xml:space="preserve">14.02.2024. 16.21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Izziņa_23-TA-3321.docx</dc:title>
</cp:coreProperties>
</file>

<file path=docProps/custom.xml><?xml version="1.0" encoding="utf-8"?>
<Properties xmlns="http://schemas.openxmlformats.org/officeDocument/2006/custom-properties" xmlns:vt="http://schemas.openxmlformats.org/officeDocument/2006/docPropsVTypes"/>
</file>