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21-TA-333: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Aizsardzības un drošības jomas iepirkumu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Aizsardzības un drošības jomas iepirkumu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likumprojekta tekstā aiz vārdiem “iepirkuma dokumentācijas sagatavotājs” izslēgt vārdus “(pasūtītāja amatpersona vai darbinieks)”, jo ne vienmēr iepirkuma dokumentācijas sagatavotājs ir pasūtītāja amatpersona vai darbinieks, piemēram, gadījumos, kad tas ir ārpakalpojuma sniedzējs. Papildus lūdzam likumprojektā vienādot terminu “iepirkuma dokumentācijas sagatavotājs”, jo likumprojekta 10.pantā tiek lietots termins “iepirkuma dokumentu sagatavotājs”, savukārt likumprojekta 9.pantā - “iepirkuma dokumentācijas sagatavotājs”.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Aizsardzības un drošības jomas iepirkumu likuma (turpmāk – ADJIL) regulējumam attiecībā uz iepirkuma dokumentu izstrādi ir nošķirami divi gadījumi: 1) iepirkuma dokumentu sagatavotājs ir pasūtītāja amatpersona vai darbinieks (ADJIL IV nodaļa un 74.pants), 2) iepirkuma dokumentu sagatavotājs ir tirgus dalībnieks (ADJIL 9.panta ceturtā un piektā daļa). Attiecīgi šiem subjektiem jau no paša sākuma un pēc būtības ir atšķirīgs tiesiskais statuss pret konkrēto procesu – iepirkuma dokumentu izstrādi, tādējādi paredzot arī atšķirīgas tiesiskās sekas. Pasūtītājs (publiskais pārstāvis) jebkurā gadījumā ir atbildīgs par visu iepirkuma norisi, līdz ar to šie subjekti (pasūtītāja amatpersona vai darbinieks un ārpakalpojuma sniedzējs) nevar tikt savstarpēji salīdzināti.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tiek precizēts likumprojekta 9.pants, norādot “iepirkuma dokumentu sagatavotājs”.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Aizsardzības un drošības jomas iepirkumu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3. pantā ietvertā Aizsardzības un drošības jomas iepirkuma likuma (turpmāk - likums) 10. panta 1.</w:t>
            </w:r>
            <w:r w:rsidR="00000000" w:rsidRPr="00000000" w:rsidDel="00000000">
              <w:rPr>
                <w:vertAlign w:val="superscript"/>
                <w:rtl w:val="0"/>
              </w:rPr>
              <w:t xml:space="preserve">1</w:t>
            </w:r>
            <w:r w:rsidR="00000000" w:rsidRPr="00000000" w:rsidDel="00000000">
              <w:rPr>
                <w:rtl w:val="0"/>
              </w:rPr>
              <w:t xml:space="preserve"> daļa daļēji dublē likumprojekta 6. pantā ietvertā likuma 21. panta pirmo un 1.</w:t>
            </w:r>
            <w:r w:rsidR="00000000" w:rsidRPr="00000000" w:rsidDel="00000000">
              <w:rPr>
                <w:vertAlign w:val="superscript"/>
                <w:rtl w:val="0"/>
              </w:rPr>
              <w:t xml:space="preserve">1</w:t>
            </w:r>
            <w:r w:rsidR="00000000" w:rsidRPr="00000000" w:rsidDel="00000000">
              <w:rPr>
                <w:rtl w:val="0"/>
              </w:rPr>
              <w:t xml:space="preserve"> daļu. Attiecīgi lūdzam izvērtēt un saskaņā ar Ministru kabineta 2009. gada 3. februāra noteikumu Nr. 108 "Normatīvo aktu projektu sagatavošanas noteikumi" 3.3. apakšpunktu atbilstoši precizēt minētās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3.pantā ietvertā likuma 10.panta 1.</w:t>
            </w:r>
            <w:r w:rsidR="00000000" w:rsidRPr="00000000" w:rsidDel="00000000">
              <w:rPr>
                <w:vertAlign w:val="superscript"/>
                <w:rtl w:val="0"/>
              </w:rPr>
              <w:t xml:space="preserve">1</w:t>
            </w:r>
            <w:r w:rsidR="00000000" w:rsidRPr="00000000" w:rsidDel="00000000">
              <w:rPr>
                <w:rtl w:val="0"/>
              </w:rPr>
              <w:t xml:space="preserve">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6. pantā vai tā anotācijā skaidrot, kas saprotams ar līgumprojektu (līgumu) un vai ar to saprotams iepirkuma līguma projekts (līgums). Attiecīgā gadījumā lūdzam nodrošināt vienveidīgu un konsekventu terminoloģiju likumprojektā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precizēts, lietojot ADJIL izmantoto terminoloģiju.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Aizsardzības un drošības jomas iepirkuma likuma (turpmāk – likums) 12.panta otrās daļas 11.punktu iepirkuma līguma projekts pievienojams kā pielikums uzaicinājumā iesniegt piedāvājumu slēgtā konkursā un konkursa dialogā un uzaicinājumā uz sarunām sarunu procedūrā, publicējot paziņojumu par līgumu. Līdz ar to iepirkuma līguma projekts, tostarp informācijas aizsardzības prasības attiecībā uz līguma izpildi, tiek izstrādāts un ietverts iepirkuma procedūras “otrajā kārtā”, proti, uzaicinājumā iesniegt piedāvājumu slēgtā konkursā un konkursa dialogā un uzaicinājumā uz sarunām sarunu procedūrā. Iepirkuma procedūras organizēšanas specifikas dēļ augstāk minētās prasības par informācijas aizsardzības prasību noteikšanu līgumprojektā un to saskaņošanu ar kompetento valsts drošības iestādi pirms iepirkuma rīkošanas nav iespējams, jo bez tehniskās specifikācijas detalizētas izstrādes nav arī zināmi visas informācijas aizsardzības prasības. Līdz ar to lūdzam izslēgt minētajā daļā vārdus “pirms iepirkuma rīkošanas”.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Informācijas aizsardzības prasības attiecībā uz līguma izpildi tiek noteiktas jau līgumprojektā un pasūtītājs tās saskaņo ar šā likuma 44. panta piektās daļas 3. punktā noteikto atbilstošo kompetento valsts drošības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šī regulējuma mērķis ir noteikt, 1) lai šādas prasības (līguma sadaļa) tiek atbilstoši izstrādātas un attiecīgi iekļautas līguma projektā vēl pirms iepirkuma rīkošanas, 2) lai šāda sadaļa tiek saskaņota ar attiecīgo drošības iestādi, tā kā šādu prasību savlaicīgai noteikšanai un saskaņošanai ir būtiska nozīme, lai iepirkums kopumā tiktu atbilstoši konstruēts/vadīts, piemēram, tiek noteiktas atbilstošas kvalifikācijas un tehniskās prasības. Satversmes aizsardzības birojs ir norādījis, ka šādas prasības (iepirkuma līguma projekta sadaļa attiecībā uz informācijas aizsardzību) iepirkuma norises laikā vairs nevarētu īpaši mainīties, jo tās izriet no noteiktām standartizētām procedūrām informācijas aizsardzības jomā. Ar likumprojekta 6.pantā paredzēto ADJIL 21.panta 1.</w:t>
            </w:r>
            <w:r w:rsidR="00000000" w:rsidRPr="00000000" w:rsidDel="00000000">
              <w:rPr>
                <w:vertAlign w:val="superscript"/>
                <w:rtl w:val="0"/>
              </w:rPr>
              <w:t xml:space="preserve">1</w:t>
            </w:r>
            <w:r w:rsidR="00000000" w:rsidRPr="00000000" w:rsidDel="00000000">
              <w:rPr>
                <w:rtl w:val="0"/>
              </w:rPr>
              <w:t xml:space="preserve">daļu netiek noteikts, ka </w:t>
            </w:r>
            <w:r w:rsidR="00000000" w:rsidRPr="00000000" w:rsidDel="00000000">
              <w:rPr>
                <w:u w:val="single"/>
                <w:rtl w:val="0"/>
              </w:rPr>
              <w:t xml:space="preserve">visam līguma projektam </w:t>
            </w:r>
            <w:r w:rsidR="00000000" w:rsidRPr="00000000" w:rsidDel="00000000">
              <w:rPr>
                <w:rtl w:val="0"/>
              </w:rPr>
              <w:t xml:space="preserve">ir jātop pirms iepirkuma izsludināšanas, tomēr vienlaikus norādām, ka no ADJIL regulējuma arī neizriet, ka darbs pie iepirkuma līguma projekta izstrādes sākas tikai pirms uzaicinājuma iesniegt piedāvājumus nosūtīšanas. Šāda pieeja – sākt minētā dokumenta projekta izstrādi tikai pirms iepirkuma procedūras 2.kārtas – radītu būtiskus riskus iepirkuma veiksmīgai un atbilstošai norisei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atbilstoši papildināts arī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attiecībā uz pretendenta pienākumu, līguma izpildes laikā nepieciešams ne tikai paziņot pasūtītājam par izmaiņām attiecībā uz apakšuzņēmējiem, bet arī tās saskaņot ar pasūtītāju Nemot vērā minēto, lūdzam papildināt likumprojekta 8.pantā ietvertā 23.panta otro daļu ar pretendenta pienākumu paziņot un saskaņot jebkādas izmaiņas attiecībā uz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ADJIL attiecas uz sensitīviem iepirkumiem un tādēļ šī likumprojekta mērķis ir arī noteikt, ka pasūtītājam ir jāsaņem informācija par visiem apakšuzņēmējiem un jebkādām izmaiņām attiecībā uz tiem, tomēr tas nenozīmē, ka pasūtītājs tādēļ var sākt ierobežot šādu tirgus dalībnieku komercdarbību un noteikt to īpašnieku struktūru (proti, pasūtītājam ir jāsaņem informācija, piemēram, par apakšuzņēmēja īpašnieku izmaiņām, lai varētu vērtēt, vai nav radušies riski saistībā, piemēram, ar informācijas aizsardzības prasībām, bet pasūtītājam nav tiesiska pamata sniegt saskaņojumu par apakšuzņēmēju īpašnieku nomaiņu). Jautājumu par apakšuzņēmēju papildu piesaisti vai nomaiņu regulē ADJIL 57.pants.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 no likumprojekta 9. panta, likumprojektā ir lietoti vairāki apzīmējumi - iepirkuma dokumentācijas sagatavotājs, iepirkuma dokumentu sagatavotājs un iepirkuma procedūras dokumentu sagatavotājs -, par kuriem katrā gadījumā nav gūstama pārliecība, vai ar to saprotams viens un tas pats tiesību subjekts. Attiecīgi lūdzam izvērtēt un nepieciešamības gadījumā vienveidot likumprojektā lietotos terminus vai papildināt likumprojekta anotāciju ar atbilstošu skaidrojumu par likumprojektā lietoto atšķirīgo terminoloģiju. Uzsveram, ka viena jēdziena izteikšanai jāizmanto vieni un tie paši termini. Iekšējā terminoloģiskā konsekvence veicina normatīvā akta skaidrību, novēršot pretrunīgus viedokļus vai šaubas par dažādu terminu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likumprojekta 9. un 10.pants, lietojot apzīmējumu “iepirkuma dokumentu sagatavotājs”.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likumprojektu vairs netiek paredzēta iespēja izveidot iepirkuma komisiju kā pastāvīgi funkcionējošu institūciju. Vienlaikus norādīts, ka, neskatoties uz to, ka likuma 28. pantā netiek ierobežots maksimālais termiņš, uz kādu ir tiesīga darboties uz noteiktu laikposmu izveidota iepirkuma komisija, pasūtītāja vadošajām amatpersonām (kuras atbild par iepirkuma komisijas izveidi un apstiprināšanu) jebkurā gadījumā arī pēc komisijas izveides ir pienākums pastāvīgi sekot līdzi tam, lai iepirkuma komisija būtu kompetenta attiecīgo iepirkumu veikšanā, kā arī - vai nav identificējami interešu konflikta riski. Ievērojot, ka teorētiski pastāv iespēja iepirkuma komisiju izveidot uz noteiktu laikposmu, kas pārsniedz pat vairākus gadus, institūciju iekšējās pretkorupcijas kontroles sistēmas ietvaros ir nepieciešams paredzēt, ka pasūtītājs ne retāk kā reizi 12 mēnešos pārvērtē uz noteiktu laikposmu, kas pārsniedz 12 mēnešus, izveidotu iepirkuma komisiju kompetences atbilstības jautājumus un potenciālus interešu konflikta riskus. Saistībā ar minēto paužam bažas, ka ar likumprojekta 9. pantu netiek sasniegts likumprojekta anotācijā minētais mērķis. Proti, jau šobrīd pasūtītāja vadošajām amatpersonām (kuras atbild par iepirkuma komisijas izveidi un apstiprināšanu) pēc komisijas izveides ir pienākums pastāvīgi sekot līdzi tam, lai iepirkuma komisija būtu kompetenta attiecīgo iepirkumu veikšanā. Attiecīgi secināms, ka, paredzot iespēju iepirkuma komisiju izveidot uz brīvi nosakāmu laikposmu no likumprojekta neizriet konkrēti līdzekļi, kā nodrošināt regulāru iepirkuma komisijas locekļu atbilstības, kompetences izvērtējumu, kā arī izvērtējumu, vai nav nepieciešams, lai mazinātu korupcijas riskus, veikt iepirkuma komisijas locekļu nomaiņu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piemēram, likumprojektā paredzēt konkrētus līdzekļus (mehānismus), kā nodrošināt to, ka tiek veikti iepriekš minētie iepirkuma komisijas locekļu atbilstības un kompetences izvērtējumi, piemēram, paredzot konkrētu un samērīgu termiņu, uz kādu minēto komisiju var izveidot, paredzot prasības attiecībā uz iepirkuma komisijas locekļu sastāvu v.tml. Alternatīvi lūdzam sniegt pamatotu skaidrojumu likumprojekta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tieši šāds regulējums, ka iepirkuma komisiju izveido katram iepirkumam atsevišķi vai uz noteiktu laikposmu, vienlaikus normā nenosakot šo maksimāli pieļaujamo laikposmu, tiek paredzēts ne tikai šajā likumprojektā, bet arī Publisko iepirkumu likumā (likums “Grozījumi Publisko iepirkumu likumā” (izsludināts 07.04.2022.)) un Sabiedrisko pakalpojumu sniedzēju iepirkumu likumā (likums “Grozījumi Sabiedrisko pakalpojumu sniedzēju iepirkumu likumā” (izsludināts 07.04.2022.)). Turklāt, izstrādājot grozījumus šajā aspektā Publisko iepirkumu likumā, tika arī paredzēts noteikt, ka maksimālais termiņš, uz kādu ir tiesīga darboties izveidota iepirkuma komisija, ir 12 mēneši, tomēr šāds regulējums starpinstitūciju sanāksmju diskusijās netika atbalstīts. Līdz ar to arī ADJIL gadījumā tiek virzīti tādi grozījumi, kas atbilst iepriekš saskaņotajam kompromisa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uzskatām, ka piedāvātais risinājums – neļaujot vairs izveidot iepirkuma komisiju kā pastāvīgi funkcionējošu institūciju, jebkurā gadījumā pastiprina pasūtītāja atbildību par iepirkuma komisijas izveidi, veicina kvalitatīvāku iepirkuma komisijas darbību un mazina potenciālus interešu konflikta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 izteikto iebildumu par to, ka  no likumprojekta neizriet konkrēti līdzekļi, kā nodrošināt regulāru iepirkuma komisijas locekļu atbilstības, kompetences izvērtējumu, kā arī izvērtējumu, lai mazinātu korupcijas riskus un lai veiktu iepirkuma komisijas locekļu nomaiņu (rotāciju), lūdzam papildināt likumprojekta anotāciju ar skaidru risinājumu, kā notiek amatpersonu nomaiņa nepieciešamības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sākotnējās ietekmes novērtējuma ziņojums (anotācija), norādot, ka amatpersonu nomaiņa nepieciešamības gadījumā tiek veikta ar attiecīgu pasūtītāja rīkojumu.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 visos gadījumos minētajā daļā norādītajām personām būs nepieciešamas atbilstošas kategorijas speciālās atļaujas. Līdz ar to, lai radītu pilnīgu izpratni par atļauju nepieciešamību, lūdzam papildināt likumprojekta 9.pantā ietverto 28.panta trešo daļu pēc vārdiem “speciālo atļauju” ar vārdiem “ja tāda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Izveidojot iepirkuma komisiju, pasūtītājs nodrošina, lai šī komisija būtu kompetenta tā iepirkuma jomā, par kuru slēdz līgumu. Iepirkuma komisija, pildot savus pienākumus, ir tiesīga pieaicināt ekspertus un iepirkuma komisijas sekretāru. Ja nepieciešams, pasūtītājs nodrošina, lai iepirkuma dokumentācijas sagatavotājs (pasūtītāja amatpersona vai darbinieks), visi iepirkuma komisijas locekļi, iepirkuma komisijas sekretārs un eksperti būtu saņēmuši atbilstošas kategorijas speciālo atļauju, ja tāda ir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ietvertās normas redakcija to arī paredz, ka, “</w:t>
            </w:r>
            <w:r w:rsidR="00000000" w:rsidRPr="00000000" w:rsidDel="00000000">
              <w:rPr>
                <w:u w:val="single"/>
                <w:rtl w:val="0"/>
              </w:rPr>
              <w:t xml:space="preserve">Ja nepieciešams</w:t>
            </w:r>
            <w:r w:rsidR="00000000" w:rsidRPr="00000000" w:rsidDel="00000000">
              <w:rPr>
                <w:rtl w:val="0"/>
              </w:rPr>
              <w:t xml:space="preserve">, pasūtītājs nodrošina, lai iepirkuma dokumentu sagatavotājs (pasūtītāja amatpersona vai darbinieks), visi iepirkuma komisijas locekļi, iepirkuma komisijas sekretārs un eksperti būtu saņēmuši atbilstošas kategorijas speciālo atļauju.” Attiecīgi nav nepieciešams šādu nosacījumu normā vēlreiz atkārtot.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regulējumu, kas noteic brīdi, kurā nepieciešams parakstīt likumprojekta 10.pantā ietvertā 29.panta trešajā daļā norādīto apliecinājumu par neieinteresētību, ievērojot to, ka likumprojektā un likumā nav noteikts laiks, kad šāds apliecinājums jāparaksta.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mērķis citstarp ir arī nodrošināt, lai iepirkuma komisijas darbības pamatprincipi visos publisko iepirkumu regulējošajos likumos tiek noteikti pēc būtības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šajā jautājumā ir vērā ņemams Iepirkumu uzraudzības biroja tīmekļvietnē publicētais skaidrojums “Interešu konflikta aktuālie jautājumi publiskajos iepirkumos”, lai arī tas ir šobrīd attiecināts uz Publisko iepirkumu likumu un Sabiedrisko pakalpojumu sniedzēju iepirkumu likumu (</w:t>
            </w:r>
            <w:r w:rsidR="00000000" w:rsidRPr="00000000" w:rsidDel="00000000">
              <w:rPr>
                <w:i w:val="1"/>
                <w:rtl w:val="0"/>
              </w:rPr>
              <w:t xml:space="preserve">https://www.iub.gov.lv/lv/skaidrojums-interesu-konflikta-aktualie-jautajumi-publiskajos-iepirkumos</w:t>
            </w:r>
            <w:r w:rsidR="00000000" w:rsidRPr="00000000" w:rsidDel="00000000">
              <w:rPr>
                <w:rtl w:val="0"/>
              </w:rPr>
              <w:t xml:space="preserve">). Minētajā skaidrojumā citstarp ir norādīts: </w:t>
            </w:r>
            <w:r w:rsidR="00000000" w:rsidRPr="00000000" w:rsidDel="00000000">
              <w:rPr>
                <w:i w:val="1"/>
                <w:rtl w:val="0"/>
              </w:rPr>
              <w:t xml:space="preserve">Likums nenosaka, kurā brīdī vai cik reizes apliecinājums būtu jāparaksta, tas faktiski izriet no apliecinājuma satura un no tā, kurā brīdī attiecīgā persona tiek iesaistīta iepirkuma veikšanā.</w:t>
            </w:r>
            <w:r w:rsidR="00000000" w:rsidRPr="00000000" w:rsidDel="00000000">
              <w:rPr>
                <w:i w:val="1"/>
                <w:rtl w:val="0"/>
              </w:rPr>
              <w:t xml:space="preserve">Ņemot vērā apliecinājuma mērķi – mazināt iespēju, ka iepirkuma komisijas locekļi, Darbinieki vai eksperts, kas iesaistīti iepirkuma dokumentācijas sagatavošanā, varētu nonākt interešu konflikta situācijā, kā arī to, ka iepirkuma komisijas locekļi vai Darbinieki uzsāk darbību attiecīgajā iepirkumā jau pirms pieteikumu vai piedāvājumu atvēršanas, piedaloties dokumentācijas izstrādāšanā un apstiprināšanā un atbilžu sagatavošanā uz ieinteresēto piegādātāju jautājumiem, parakstīt apliecinājumu nepieciešams brīdī, kad attiecīgā persona uzsāk darbību iepirkuma komisijas sastāvā vai tiek pieaicināta kā iepirkuma dokumentācijas sagatavotājs.</w:t>
            </w:r>
            <w:r w:rsidR="00000000" w:rsidRPr="00000000" w:rsidDel="00000000">
              <w:rPr>
                <w:i w:val="1"/>
                <w:rtl w:val="0"/>
              </w:rPr>
              <w:t xml:space="preserve">Ja Darbinieks vai iepirkuma komisijas loceklis tiek piesaistīts iepirkuma dokumentācijas sagatavošanā vai iepirkumu komisijas darbā vēlāk, tas apliecinājumu paraksta attiecīgajā iepirkuma norises posmā, precizējot apliecinājuma saturu (piemēram, apliecinot, ka iepirkuma dokumentācijas izstrādāšanas laikā nav pārstāvētas konkrēta piegādātāja intereses, kā arī apliecinot to, ka iepirkuma komisijas loceklis vai Darbinieks faktiski nav saistīts ne ar vienu no konkrētajā iepirkumā pieteikumus iesniegušajiem kandidātiem vai piedāvājumus iesniegušajiem pretendentiem un/vai to apakšuzņēmējiem atbilstoši Likuma 25.panta pirmās un otrās daļas regulējumam (ja apliecinājums tiek parakstīts pēc pieteikumu vai piedāvājumu atvēršanas).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38. 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12. pantā vai likumprojekta anotācijā skaidrot, kādā termiņā jābūt saņemtam dokumentu pieprasījumam, lai tas tiktu novērtēts kā laikus saņemts. Norādām, ka tiesību normai ir jābūt skaidrai, lai tās piemērotāji un lietotāju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attiecas uz tādiem gadījumiem, kad pasūtītājs nenodrošina brīvu un tiešu elektronisku pieeju iepirkuma procedūras dokumentiem un tirgus dalībnieks lūdz šādu informāciju izsniegt vai nosūtīt tam tieši. Attiecīgi ar normu tiek noteikts, ka dokumentācijas pieprasītājam ir jārēķinās ar pasūtītājam likumā noteikto maksimāli pieļaujamo dokumentu izsniegšanas vai izsūtīšanas termiņu jebkurā gadījumā – 6 dienas pēc pieprasījuma saņemšanas. Tāpat minētā norma nosaka, ka tirgus dalībniekam dokumentācija var tikt izsniegta vai izsūtīta tad, ja, ievērojot tirgus dalībnieka izteiktā pieprasījuma saņemšanas brīdi, pasūtītājam tiek nodrošināts normā minētais termiņš līdz attiecīgi pieteikumu vai piedāvājumu iesniegšanas termiņam un līdz ar to šādai informācijas sniegšanai var būt ietekme uz konkrēto iepirkuma procedūru (proti, tirgus dalībnieks vispār var paspēt sagatavot un iesniegt pieteikumu vai piedāvājumu), ar ko arī ir saprotams lietotais formulējums – “ievērojot nosacījumu, ka dokumentu pieprasījums saņemts laikus pirms pieteikumu vai piedāvājumu iesniegšanas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Papildus vēršam uzmanību, ka ar likumprojektu netiek grozīta līdzšinējā pieeja attiecībā uz dokumentu pieprasīšanas un izsniegšanas termiņu, turklāt šāds nosacījums par laikus saņemtu pieprasījumu ir ietverts visos publisko iepirkumu likumos </w:t>
            </w:r>
            <w:r w:rsidR="00000000" w:rsidRPr="00000000" w:rsidDel="00000000">
              <w:rPr>
                <w:rtl w:val="0"/>
              </w:rPr>
              <w:t xml:space="preserve">(PIL 36.panta pirmā daļa, SPSIL 42.panta sestā daļa, PPPL 18.panta septītā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38. panta otro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38. 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vārds “laikus” ir neskaidrs un rada plašu interpretācijas iespējamību, lūdzam likumprojektā noteikt skaidru laiku, cik dienu iepriekš dokumentu pieprasījumam ir jābūt saņemtam, lai pasūtītājs izsūtītu vai izsniegtu iepirkuma procedūras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šīs izziņas 11.punktu.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38. panta otro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likums un likumprojekts nenoteic laiku vai brīdi, kad veicamas izslēgšanas noteikumu pārbaudes, tādējādi radot neskaidrības attiecībā uz šīs normas piemērojamību. Līdz ar to lūdzam likumprojektā skaidri noteikt, uz kuru datumu jāveic izslēgšanas noteikumu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likumprojekta 14.pantā ietvertā 44.panta otrās daļas 4.punktā norādīto izslēgšanas noteikumu pārbaudes brīdi attiecībā uz neizpildītām nodokļu saistībām, lai būtu skaids par izslēgšanas noteikumu pārbaudes datumiem. No likumprojekta nav saprotams, uz kuriem brīžiem šādas pārbaudes jāveic, proti, uz kandidāta pieteikumu iesniegšanas termiņa pēdējo dienu un/vai kandidātu atlases lēmuma pieņemšanas dienu, un/vai kandidātu uzaicinājuma iesniegt piedāvājumu dienu un/vai uz pretendenta piedāvājumu iesniegšanas termiņa pēdējo dienu un/vai dienu, kad pieņemts lēmums par iespējamu iepirkuma līguma slēgšanas tiesību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14.pantā ietvertajā likuma 44.panta devītajā daļā ir noteikta izslēgšanas iemeslu pārbaudes kārtība (attiecināmība) </w:t>
            </w:r>
            <w:r w:rsidR="00000000" w:rsidRPr="00000000" w:rsidDel="00000000">
              <w:rPr>
                <w:u w:val="single"/>
                <w:rtl w:val="0"/>
              </w:rPr>
              <w:t xml:space="preserve">atbilstoši tam, vai tiek piemērota iepirkuma procedūra vai arī iepirkums atbilstoši 2.pielikumā minētajiem pakalpojumiem, turklāt, ja tiek piemērota iepirkuma procedūra – atkarībā no tās veida</w:t>
            </w:r>
            <w:r w:rsidR="00000000" w:rsidRPr="00000000" w:rsidDel="00000000">
              <w:rPr>
                <w:rtl w:val="0"/>
              </w:rPr>
              <w:t xml:space="preserve">. Līdz ar to minētā panta ceturtajā daļā, nosakot, kad tomēr kandidāts vai pretendents netiek izslēgts no dalības iepirkuma procedūrā, ir ietverti nosacījumi, kā ir aprēķināmi attiecīgu izslēgšanas iemeslu noilguma termiņi, proti, attiecinot tos vai nu pret pieteikuma, vai arī piedāvājuma iesniegšanas dienu. Attiecībā uz minētā panta otrās daļas 4.punktā noteikto izslēgšanas iemeslu par neizpildītām saistībām nodokļu jomā ir konkrēti noteikts, uz kādiem datumiem šis izslēgšanas iemesls ir pārbaudāms, proti, atšķirībā no citiem izslēgšanas iemesliem šis izslēgšanas iemesls tiek pārbaudīts uz 1) pieteikumu un 2) piedāvājumu iesniegšanas termiņa pēdējo dienu un 3) dienu, kad tiek pieņemts lēmums par iespējamu iepirkuma līguma slēgšanas tiesību piešķiršanu (attiecīgi – ja tiek piemērota divpakāpju procedūra, attiecībā pret neizpildītām saistībām nodokļu jomā tirgus dalībnieks tiek pārbaudīts pat uz 3 dažādiem datumiem).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norādāms, ka, piemēram, izslēgšanas iemesls – “kandidāts vai pretendents ir sniedzis nepatiesu informāciju, lai apliecinātu atbilstību šā panta noteikumiem vai saskaņā ar šo likumu noteiktajām kandidātu un pretendentu kvalifikācijas prasībām, vai nav sniedzis prasīto informāciju” – ar likumu pēc būtības nevar tikt saistīts tikai ar kādu vienu konkrētu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likumprojektā ietvertais regulējums ir interpretējams, piemērojot visas interpretācijas metodes, t.sk. sistēmisko un teleoloģisko interpretācijas metodi. Vienlaikus vēršam uzmanību, ka kandidātu un pretendentu izslēgšanas noteikumi šajā likumprojektā tiek salāgoti ar citos publisko iepirkumu regulējošos likumos paredzēto izslēgšanas noteikumu regulējumu (proti, ar likumu “Grozījumi Publisko iepirkumu likumā” (izsludināts 15.03.2022.), likumu “Grozījumi Sabiedrisko pakalpojumu sniedzēju iepirkumu likumā” (izsludināts 17.05.2022.) un likumu “Grozījumi Publiskās un privātās partnerības likumā” (izsludināts 17.05.2022.)) ciktāl tas atbilst Direktīvas Nr.2009/81/EK regulējumam. Tāpat vēršam uzmanību, ka Iepirkumu uzraudzības birojs ir paredzējis izstrādāt skaidrojumu par publisko iepirkumu regulējošos likumos ar grozījumiem noteikto izslēgšanas iemeslu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Krimināllikuma 79.</w:t>
            </w:r>
            <w:r w:rsidR="00000000" w:rsidRPr="00000000" w:rsidDel="00000000">
              <w:rPr>
                <w:vertAlign w:val="superscript"/>
                <w:rtl w:val="0"/>
              </w:rPr>
              <w:t xml:space="preserve">3</w:t>
            </w:r>
            <w:r w:rsidR="00000000" w:rsidRPr="00000000" w:rsidDel="00000000">
              <w:rPr>
                <w:rtl w:val="0"/>
              </w:rPr>
              <w:t xml:space="preserve"> pantam par noziedzīgiem nodarījumiem saistībā ar teroristu grupu uzskatāma arī cita starpā šādas grupas vadīšana, iesaistīšanās šādā grupā un piedalīšanās šādas grupas izdarītajos 79.</w:t>
            </w:r>
            <w:r w:rsidR="00000000" w:rsidRPr="00000000" w:rsidDel="00000000">
              <w:rPr>
                <w:vertAlign w:val="superscript"/>
                <w:rtl w:val="0"/>
              </w:rPr>
              <w:t xml:space="preserve">3</w:t>
            </w:r>
            <w:r w:rsidR="00000000" w:rsidRPr="00000000" w:rsidDel="00000000">
              <w:rPr>
                <w:rtl w:val="0"/>
              </w:rPr>
              <w:t xml:space="preserve"> panta pirmajā daļā minētajos noziegumos. Attiecīgi lūdzam izvērtēt un nepieciešamības gadījumā atbilstoši papildināt likumprojektu vai sniegt atbilstošu skaidrojumu likumprojekta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šajā likumprojektā izslēgšanas iemesls saistībā ar terorismu tiek salāgots ar citos publisko iepirkumu regulējošos likumos paredzēto attiecīgo izslēgšanas iemeslu (likums “Grozījumi Publisko iepirkumu likumā” (izsludināts 15.03.2022.), likums “Grozījumi Sabiedrisko pakalpojumu sniedzēju iepirkumu likumā” (izsludināts 17.05.2022.) un likums “Grozījumi Publiskās un privātās partnerības likumā” (izsludināts 17.05.2022.)), par kuriem savukārt šādi iebildumi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publisko iepirkumu regulējums nav vērtējams kā precīzs Krimināllikuma normu satura atspoguļojums; šāda pieeja nebūtu lietderīga, jo gadījumā, ja tiktu veiktas kādas pat redakcionālas izmaiņas Krimināllikumā, vienlaikus būtu jālabo arī publisko iepirkumu regulējumā minētie izslēgšanas iemesli. Vēršam uzmanību, ka atbilstoši likumprojekta 14.pantā ietvertās 44.panta desmitās daļas 2.punktam ar Ministru kabineta noteikumiem faktiski tiks noteikts, atbilstoši kādām tieši Krimināllikuma normām tiks sniegta informācija elektronisko iepirkumu sistēmas e-izziņu apakšsistēmā (kur savukārt dati tiks iegūti no Iekšlietu ministrijas Informācijas centra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nav tiesiska pamata kādam no likumiem paredzēt atšķirīgu regulējumu attiecībā uz konkrēto izslēgšanas iemeslu.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14. pantā izteiktā likuma 44. panta otrās daļas 2. punkta un tā anotācijas skaidri neizriet, kā izpaužas kandidāta vai pretendents saistība ar organizēto noziedzību vai kriminālsodāmām darbībām, jo īpaši, ņemot vērā, ka likumprojekta 14. pantā izteiktā likuma 44. panta otrās daļas 1. punkts jau paredz kandidāta vai pretendenta sasaisti ar vairākiem noziedzīgiem nodarījumiem, t.i., ja minētais subjekts atzīts par vainīgu vai tam  piemērots piespiedu ietekmēšanas līdzeklis par cita starpā noziedzīgas organizācijas izveidošanu, vadīšanu, iesaistīšanos tajā vai tās sastāvā ietilpstošā organizētā grupā vai citā noziedzīgā formējumā vai piedalīšanos šādas organizācijas izdarītos noziedzīgos nodarījumos u.c. noziedzīgiem nodarījumiem. Attiecīgi lūdzam sniegt atbilstošu skaidrojumu par minēto likumprojekta anotācijā. Ja atbilstošu skaidrojumu nav iespējams sniegt, lūdzam izslēgt likumprojekta 14. pantā izteiktajā likuma 44. panta otrās daļas 2. punktā vārdus "kandidāts vai pretendents ir saistīts ar organizēto noziedzību vai kriminālsodāmām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Satversmes aizsardzības biroja viedokli, precizēta likumprojekta 14.pantā ietvertā likuma 44.panta otrās daļas 2.punkta redakcija, izslēdzot vārdus “kandidāts vai pretendents ir saistīts ar organizēto noziedzību vai kriminālsodāmām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14. pantā izteiktā likuma 44. panta desmitās daļas 2. punkts paredz Ministru kabinetam noteikt šā panta piektās daļas 1. punkta "a" apakšpunktā minētās pārbaudāmās informācijas apstrādes mērķi un apjomu, kā arī tos normatīvos aktus un to pantus, kuri atbilst šā panta otrajā daļā noteiktajiem kandidātu un pretendentu izslēgšanas iemesliem un par kuros paredzētajiem pārkāpumiem un noziedzīgajiem nodarījumiem veicama šā panta piektās daļas 1. punkta "a" apakšpunktā noteiktā pārbaude. Saistībā ar minēto norādām, ka nav skaidrs, kas saprotams ar norādi uz pantiem, ja šī norāde lietota līdztekus normatīvajiem aktiem (kas var saturēt pantus vai citas vienības), kā arī nav skaidri saprotams pamatojums Ministru kabinetam noteikt normatīvos aktus, ja likumprojekts jau pēc būtības norāda konkrētus pārkāpumus un noziedzīgus nodarījumus. Attiecīgi lūdzam atbilstoši precizēt likumprojektu un sniegt atbilstošu skaidrojumu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 likumprojektu tiek saglabāta esošā pieeja, turklāt visos publisko iepirkumu regulējošos likumos tas tiek paredzēts vienādi (likums “Grozījumi Publisko iepirkumu likumā” (izsludināts 15.03.2022.), likums “Grozījumi Sabiedrisko pakalpojumu sniedzēju iepirkumu likumā” (izsludināts 17.05.2022.) un likums “Grozījumi Publiskās un privātās partnerības likumā” (izsludināts 17.05.2022.)), proti, ka likumā tiek noteikti izslēgšanas iemesli, bet Ministru kabinetam tiek dots deleģējums noteikt konkrētus nosacījumus attiecībā uz sistēmas darbību un izmantošanu, lai varētu tikt nodrošināta izslēgšanas iemeslu pārbaude (papildus skatīt arī šīs izziņas 14.punktu, kā arī informatīvi Ministru kabineta 2017.gada 28.februāra noteikumus Nr.108 “Publisko elektronisko iepirkumu noteikumi”, kur 12.pielikumā ir ietvertas atsauces uz konkrētiem likumiem un to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tiek ņemta vērā norāde par atsauci uz pantiem, precizējot likumprojekta 14.pantā ietvertā likuma 44.panta desmitās daļas 2.punkts redakciju, lietojot vārda “pantus” vietā vārdu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izslēgšanas nosacījumi turpmāk tiek attiecināti arī uz visiem kandidāta vai pretendenta piesaistītajiem vai atlasītajiem apakšuzņēmējiem. Anotācijā skaidrots, ka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Nr. 2009/81/EK) preambulas 65., 66. un 67. apsvērumā, analizējot kandidāta un pretendenta izslēgšanas iemeslus, vairākkārt tiek lietots formulējums "uzņēmējs", kas faktiski liecina, ka direktīvas mērķis ir nodrošināt šādu sensitīvo iepirkumu aizsardzību un mazināt visus iespējamos riskus, attiecīgi pārbaudot jebkura līguma izpildē iesaistītā subjekta atbilstību izslēgšanas iemesliem. Atbilstība kādam no izslēgšanas iemesliem ir rādītājs, kas liecina par uzņēmēja riskantumu, kas var apdraudēt šāda sensitīva iepirkuma līguma izpildi vai citus ar to saistītus aspektus. Lai arī direktīvas 39. pantā, kas reglamentē kandidātu un pretendentu izslēgšanas nosacījumus, nav ietvertas tiešas atsauces uz apakšuzņēmējiem, tomēr, ievērojot direktīvas kopējo saturu, t.sk. vairākkārtējas norādes par uzņēmēju vai apakšuzņēmēju lomu šādu līgumu atbilstošā izpildē, kā arī ievērojot faktu, ka direktīva tika pieņemta 2009. gada 13. jūlijā un kopš tā laika ir būtiski attīstījusies gan kopējā publisko iepirkumu prakse, gan ir notikušas izmaiņas ģeopolitiskajā situācijā, nav pamata uzskatīt, ka likumprojektā ietvertie nosacījumi attiecībā uz apakšuzņēmējiem būtu vērtējami kā nepamatoti vai nesamērīgi. Saistībā ar minēto paužam bažas, ka no minētā likumprojekta anotācijas skaidrojuma nav gūstama pārliecība par to, ka izslēgšanas nosacījumu attiecināšana uz apakšuzņēmējiem atbilst direktīvai Nr. 2009/81/EK, tai skaitā tās 39. pantam. Proti, norādām, ka minētās preambulas 65., 66. un 67. apsvērumā lietotā norāde uz uzņēmējiem pati par sevi nav pamatojums uz apakšuzņēmējiem attiecināt visas 39. pantā minētās prasības, kuras diferencētā veidā tiešā tekstā minētajā pantā attiecinātas uz kandidātiem un pretendentiem vai uzņēmējiem. Turklāt skaidrojam, lai gan ES (Eiropas Savienības) tiesību normu satura atklāšanai var tik izmantota direktīvas preambula, gadījumā, ja pastāv atšķirības starp ES tiesību aktu un tā preambulu, priekšroka vienmēr ir pašā ES tiesību aktā noteiktajam. Savukārt likumprojekta anotācijā norādītais par direktīvas kopējo saturu un apstākļu izmaiņām (izmaiņām iepirkumu attīstībā u.c.) nav vērtējams viennozīmīgi un šādu secinājumu, pārsniedzot direktīvas Nr. 2009/81/EK tekstuālās robežas, varētu izdarīt vienīgi Eiropas Savienības Tiesa, kam saskaņā ar Līguma par Eiropas Savienības darbību 267. pantu ir tiesības sniegt juridiski saistošu Eiropas Savienības tiesību normu iztulkojumu.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likumprojektā vairākos gadījumos sniegta direktīvas Nr. 2009/81/EK normu interpretācija, kura pirmšķietami vērtējama kā progresīva (sk. arī tālāk šajā atzinumā iebildumu saistībā ar uzticamības nodrošināšanas regulējumu likumprojekta 15. pantā), un, iespējams, pārsniedz direktīvā Nr. 2009/81/EK šobrīd izvirzīto mērķi, kā arī to, ka par attiecīgajiem jautājumiem nav izveidojusies Eiropas Savienības Tiesas judikatūra, Tieslietu ministrija paredzētos attiecīgos grozījumus likumprojektā šobrīd vērtē piesardzīgi. Attiecīgi, lai izvairītos no iespējamas pārkāpuma procedūras uzsākšanas pret Latviju, ja direktīvas Nr. 2009/81/EK prasības tiek neatbilstoši pārņemtas, lūdzam Finanšu ministriju (atbildīgo ministriju par direktīvas Nr. 2009/81/EK prasību pārņemšanu) izvērtēt un nepieciešamības gadījumā vērsties atbildīgajā Eiropas Komisijas ģenerāldirektorātā ar lūgumu sniegt skaidrojumu par attiecīgo direktīvas Nr. 2009/81/EK normu interpretāciju, kā arī lūdzam likumprojekta anotācijā minēto interpretāciju balstīt, atsaucoties arī uz konkrētiem Eiropas Savienības līmenī pieņemtiem dokumentiem (piem., skaidrojumiem, vadlīnijām, sanāksmju protokoliem konkrētās interpretācijas sakarā u.tml.), kas šādu intepretāciju pamato. Uzsveram, ja atbilstošu pamatojumu nav iespējams sniegt, Tieslietu ministrija nevar atbalstīt attiecīgos likumprojekta grozījumus, kas neatbilst direktīvai Nr. 2009/81/EK.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2009/81/EK  interpretācijai citstarp ir izmantojams arī Eiropas Komisijas sagatavotais un ar Eiropas Savienības dalībvalstīm saskaņotais skaidrojums “Apakšuzņēmuma līgumi” (</w:t>
            </w:r>
            <w:r w:rsidR="00000000" w:rsidRPr="00000000" w:rsidDel="00000000">
              <w:rPr>
                <w:i w:val="1"/>
                <w:rtl w:val="0"/>
              </w:rPr>
              <w:t xml:space="preserve">Guidance Note “Subcontracting”</w:t>
            </w:r>
            <w:r w:rsidR="00000000" w:rsidRPr="00000000" w:rsidDel="00000000">
              <w:rPr>
                <w:rtl w:val="0"/>
              </w:rPr>
              <w:t xml:space="preserve">), kuru 2016.gada 12.februārī publicēja Eiropas Komisijas Iekšējā tirgus un pakalpojumu ģenerāldirektorāts. Minētā skaidrojuma 23.punktā tieši ir norādīts, ka pasūtītājam paziņojumā par līgumu ir jānorāda, kādi izslēgšanas iemesli tiks attiecināti uz apakšuzņēmējiem un ka uz apakšuzņēmējiem jebkurā gadījumā var attiecināt tikai tādus izslēgšanas iemeslus, kas ir attiecināti arī uz pašu pretendentu (proti: </w:t>
            </w:r>
            <w:r w:rsidR="00000000" w:rsidRPr="00000000" w:rsidDel="00000000">
              <w:rPr>
                <w:i w:val="1"/>
                <w:rtl w:val="0"/>
              </w:rPr>
              <w:t xml:space="preserve">“In all cases (options A to D), contracting authorities/entities must indicate in the contract notice</w:t>
            </w:r>
            <w:r w:rsidR="00000000" w:rsidRPr="00000000" w:rsidDel="00000000">
              <w:rPr>
                <w:i w:val="1"/>
                <w:rtl w:val="0"/>
              </w:rPr>
              <w:t xml:space="preserve">- the selection criteria regarding the personal situation of subcontractors that may lead the contracting authority/entity to reject potential subcontractors, and the required information proving that these subcontractors do not fall within the cases justifying rejection, and</w:t>
            </w:r>
            <w:r w:rsidR="00000000" w:rsidRPr="00000000" w:rsidDel="00000000">
              <w:rPr>
                <w:i w:val="1"/>
                <w:rtl w:val="0"/>
              </w:rPr>
              <w:t xml:space="preserve">- the information and documentation required for assessing the minimum economic and technical capacities of subcontractors.</w:t>
            </w:r>
            <w:r w:rsidR="00000000" w:rsidRPr="00000000" w:rsidDel="00000000">
              <w:rPr>
                <w:i w:val="1"/>
                <w:rtl w:val="0"/>
              </w:rPr>
              <w:t xml:space="preserve">According to Article 21 (5), rejection of a subcontractor may only be based on criteria applied for the selection of tenderers for the main contract”</w:t>
            </w:r>
            <w:r w:rsidR="00000000" w:rsidRPr="00000000" w:rsidDel="00000000">
              <w:rPr>
                <w:rtl w:val="0"/>
              </w:rPr>
              <w:t xml:space="preserve">). Vienlaikus norādāms, ka Direktīvas Nr.2009/81/EK 39.pants, kas reglamentē izslēgšanas iemeslus, nosaukums angļu valodā ir </w:t>
            </w:r>
            <w:r w:rsidR="00000000" w:rsidRPr="00000000" w:rsidDel="00000000">
              <w:rPr>
                <w:i w:val="1"/>
                <w:rtl w:val="0"/>
              </w:rPr>
              <w:t xml:space="preserve">“Personal situation of the candidate or tenderer”</w:t>
            </w:r>
            <w:r w:rsidR="00000000" w:rsidRPr="00000000" w:rsidDel="00000000">
              <w:rPr>
                <w:rtl w:val="0"/>
              </w:rPr>
              <w:t xml:space="preserve"> un tas ir ietverts Direktīvas Nr.2009/81/EK 2.iedaļā </w:t>
            </w:r>
            <w:r w:rsidR="00000000" w:rsidRPr="00000000" w:rsidDel="00000000">
              <w:rPr>
                <w:i w:val="1"/>
                <w:rtl w:val="0"/>
              </w:rPr>
              <w:t xml:space="preserve">“Criteria for qualitative selection”</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secināms, ka kandidāta un pretendenta izslēgšanas iemesli var tikt pilnībā attiecināti arī uz apakšuzņēmēju neatkarīgi no apakšuzņēmuma līguma piešķiršanas metodes. Tādējādi ir pamats arī secināt, ka šāda pieeja par izslēgšanas iemeslu piemērošanu ir attiecināma uz apakšuzņēmējiem kopumā, proti, ne tikai apakšuzņēmuma līguma kontekstā (ADJIL IX nodaļa), vēl jo vairāk tāpēc, ka Direktīva 2009/81/EK un attiecīgi ADJIL neierobežo piegādātāja tiesības gandrīz visu līguma faktisko izpildi nodot apakšuzņēmējam/-iem. Attiecīgi nebūtu loģiski, ka gadījumos, kad pasūtītājs ir paredzējis piegādātājam pienākumu daļu no līguma priekšmeta nodot nesaistītajiem apakšuzņēmējiem, kas attiecīgi šādas prasības gadījumā nevar pārsniegt 30% no līguma kopējās vērtības, tiktu noteiktas daudz stingrākas prasības, nekā tad, ja piegādātājs apakšuzņēmējus piesaistītu pēc savas izvēles un nodotu tiem vēl lielāku līguma daļu. Šī likumprojekta mērķis ir paredzēt visu apakšuzņēmēju pārbaudi attiecībā uz izslēgšanas iemesliem, lai nodrošinātu maksimālu ADJIL kā speciālā regulējuma sensitīvu iepirkumu veikšanai piemērošanas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papildus šajā aspektā arī Direktīvas Nr.2009/81/EK piemērošanas kontekstā tomēr būtu vērā ņemams arī Eiropas Savienības tiesas lietas </w:t>
            </w:r>
            <w:r w:rsidR="00000000" w:rsidRPr="00000000" w:rsidDel="00000000">
              <w:rPr>
                <w:i w:val="1"/>
                <w:rtl w:val="0"/>
              </w:rPr>
              <w:t xml:space="preserve">Rad Service Srl Unipersonale, COSMO Ambiente Srl, COSMO Svavi Srl </w:t>
            </w:r>
            <w:r w:rsidR="00000000" w:rsidRPr="00000000" w:rsidDel="00000000">
              <w:rPr>
                <w:rtl w:val="0"/>
              </w:rPr>
              <w:t xml:space="preserve">C-210/20 sprieduma 27.punktā norādītais, ka </w:t>
            </w:r>
            <w:r w:rsidR="00000000" w:rsidRPr="00000000" w:rsidDel="00000000">
              <w:rPr>
                <w:i w:val="1"/>
                <w:rtl w:val="0"/>
              </w:rPr>
              <w:t xml:space="preserve">“valsts tiesiskais regulējums, kurā ir paredzēta </w:t>
            </w:r>
            <w:r w:rsidR="00000000" w:rsidRPr="00000000" w:rsidDel="00000000">
              <w:rPr>
                <w:i w:val="1"/>
                <w:u w:val="single"/>
                <w:rtl w:val="0"/>
              </w:rPr>
              <w:t xml:space="preserve">pretendenta automātiska izslēgšana</w:t>
            </w:r>
            <w:r w:rsidR="00000000" w:rsidRPr="00000000" w:rsidDel="00000000">
              <w:rPr>
                <w:i w:val="1"/>
                <w:rtl w:val="0"/>
              </w:rPr>
              <w:t xml:space="preserve">, ja subjekts, uz kura spējām tas ir paredzējis paļauties, ir sniedzis nepatiesu informāciju, </w:t>
            </w:r>
            <w:r w:rsidR="00000000" w:rsidRPr="00000000" w:rsidDel="00000000">
              <w:rPr>
                <w:i w:val="1"/>
                <w:u w:val="single"/>
                <w:rtl w:val="0"/>
              </w:rPr>
              <w:t xml:space="preserve">varētu būt pretrunā nediskriminācijas principam</w:t>
            </w:r>
            <w:r w:rsidR="00000000" w:rsidRPr="00000000" w:rsidDel="00000000">
              <w:rPr>
                <w:i w:val="1"/>
                <w:rtl w:val="0"/>
              </w:rPr>
              <w:t xml:space="preserve">, jo šāda subjekta aizstāšana ir pieļaujama, ja tas neatbilst attiecīgajiem atlases kritērijiem vai ja attiecībā uz to pastāv obligāti izslēgšanas pamati” (https://curia.europa.eu/juris/document/document.jsf?text=2014%252F24%252FES&amp;docid=242035&amp;pageIndex=0&amp;doclang=LV&amp;mode=req&amp;dir=&amp;occ=first&amp;part=1&amp;cid=25315817#ctx1)</w:t>
            </w:r>
            <w:r w:rsidR="00000000" w:rsidRPr="00000000" w:rsidDel="00000000">
              <w:rPr>
                <w:rtl w:val="0"/>
              </w:rPr>
              <w:t xml:space="preserve">; tāpat arī Eiropas Savienības tiesas lietas</w:t>
            </w:r>
            <w:r w:rsidR="00000000" w:rsidRPr="00000000" w:rsidDel="00000000">
              <w:rPr>
                <w:i w:val="1"/>
                <w:rtl w:val="0"/>
              </w:rPr>
              <w:t xml:space="preserve"> Tim SpA – Direzione e coordinamento Vivendi SA</w:t>
            </w:r>
            <w:r w:rsidR="00000000" w:rsidRPr="00000000" w:rsidDel="00000000">
              <w:rPr>
                <w:rtl w:val="0"/>
              </w:rPr>
              <w:t xml:space="preserve"> C-395/18 spriedumā norādītais, ka automātiska pretendenta izslēgšana, ja attiecībā uz tā apakšuzņēmēju ir konstatēts izslēgšanas iemesls, būtu pretrunā samērīguma principam (</w:t>
            </w:r>
            <w:r w:rsidR="00000000" w:rsidRPr="00000000" w:rsidDel="00000000">
              <w:rPr>
                <w:i w:val="1"/>
                <w:rtl w:val="0"/>
              </w:rPr>
              <w:t xml:space="preserve">https://eur-lex.europa.eu/legal-content/LV/TXT/?qid=1580881926845&amp;uri=CELEX:62018CJ0395</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14. pantā izteiktā likuma 44. panta otrās daļas 3. punkts neatbilst 44. panta septītajai daļai, jo no 3. punkta neizriet, ka būtu vērtējams arī konkrētās personas pārkāpuma nozīmīgums. Papildus vēršam uzmanību, ka minētajās likuma vienībās ietvertie kritēriji neatbilst likumprojekta anotācijā minētajam, kas paredz, ka vērtējami arī citi kritēriji, piemēram, samērīgums. Attiecīgi lūdzam atbilstoši precizēt iepriekš minētās normas, salāgojot tās ar likumprojekta anotāciju. Norādām, ka tiesību normai ir jābūt skaidrai, lai tās piemērotājs un lietotājs gūtu skaidru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skaidrošanai ir piemērojamas visas interpretāciju metodes, t.sk. sistēmiskā un teleoloģiskā, līdz ar to uzskatām, ka konkrētajā gadījumā neveidojas pretruna vai neatbilstība. Attiecīgi likumprojekta 14.pantā izteiktajā 44.panta otrās daļas 3.punktā ir noteikts izslēgšanas iemesls kā tāds, savukārt šī panta septītajā daļā ir noteikta tā piemērošanas kārtība. Tāpat uzskatām, ka anotācijā ir pamatoti, skaidrojot šīs normas piemērošanas saturu, norādīts uz samērīguma vērtēšanu, jo to pēc būtības arī paredz likumprojekta 14.pantā izteiktā 44.panta septītās daļas redakcija, lietojot tādus formulējumus kā “pasūtītāja rīcībā ir tāda pietiekama un objektīva informācija” un “ir pamatotas šaubas par pierādījumu pietiekamību vai arī konkrētās personas pieļautie pārkāpumi ir maznozīmīgi”.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šāds regulējums tiek paredzēts arī citos publisko iepirkumu regulējošos likumos (likumā “Grozījumi Publisko iepirkumu likumā” (izsludināts 15.03.2022.), likumā “Grozījumi Sabiedrisko pakalpojumu sniedzēju iepirkumu likumā” (izsludināts 17.05.2022.) un likumā “Grozījumi Publiskās un privātās partnerības likumā” (izsludināts 17.05.2022.)).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14. pantā izteikto likuma 44. panta piektās daļas 1. punkta "c" apakšpunktu paredzēts saīsināt laiku pierādījumu iesniegšanai (no 10 dienām uz 3 darbdienām) par nodokļu saistību izpildi Latvijā reģistrētiem piegādātājiem. Likumprojekta anotācijā skaidrots, ka informācija no datubāzēm un izziņas no Elektroniskās deklarēšanās sistēmas iegūstamas īsā laikā, kā arī dati par nodokļu parādiem tiek aktualizēti katru dienu, samazinot neprecīzu datu iespēju. Saistībā ar minēto paužam bažas, ka atsevišķos gadījumos saīsinātais laiks pierādījumu iesniegšanai varētu būt nesamērīgs, tai skaitā ņemot vērā, ka pierādījumu veidi likumprojektā netiek izsmeļoši noteikti (likumprojekta 44. panta sestā daļa paredz, ka iesniegt var arī citus objektīvus pierādījumus par nodokļu parādu neesību vai nodokļu saistību izpildi), kā rezultātā nav gūstama pārliecība, ka visos gadījumos trīs darba dienas būs pietiekams termiņš pierādījumu iesniegšanai. Ievērojot minēto, lūdzam izvērtēt un atbilstoši precizēt likumprojektu, piemēram, paredzot, ka noteiktos gadījumos (apstākļos) attiecīgais termiņš var tikt pagarināts. Alternatīvi lūdzam likumprojekta anotācijā sniegt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Saeimas Tautsaimniecības, agrārās, vides un reģionālās politikas komisijas aicinājumam Finanšu ministrija savulaik bija izveidojusi darba grupu, kuras uzdevums bija izdiskutēt neskaidros jautājumus un panākt kompromisa risinājumus par vairākiem likumprojektā “Grozījumi Publisko iepirkumu likumā” (Nr.851/Lp13) ietvertajiem jautājumiem (proti, likums “Grozījumi Publisko iepirkumu likumā” (izsludināts 15.03.2022.)). Attiecīgi minētajā likumprojektā sākotnēji tika paredzēts 10 dienu termiņš pierādījumu iesniegšanai, tomēr diskusiju rezultātā tika grozīts šis termiņš uz trīs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2021.gada 10.septembra vēstulē Nr.11-2/7-2/4987, kas ir adresēta Saeimas Tautsaimniecības, agrārās, vides un reģionālās politikas komisijai un ir publiski pieejama Saeimas tīmekļvietnē pie konkrētā likumprojekta,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“Ievērojot Darba grupā panākto vienošanos par nodokļu saistību izpildes pārbaudes kārtības precizēšanu, attiecīgi tiek precizēta nodokļu saistību izpildes pārbaudes kārtība, vienlaikus saglabājot esošo izslēgšanas nosacījumu un iegūstot datus uz to pēdējās aktualizācijas datumu un nepagarinot iepirkumu procedūras norisi. Papildus </w:t>
            </w:r>
            <w:r w:rsidR="00000000" w:rsidRPr="00000000" w:rsidDel="00000000">
              <w:rPr>
                <w:i w:val="1"/>
                <w:u w:val="single"/>
                <w:rtl w:val="0"/>
              </w:rPr>
              <w:t xml:space="preserve">tiek saīsināts laiks pierādījumu iesniegšanai par nodokļu saistību izpildi Latvijā reģistrētiem piegādātājiem, jo informācijas no datubāzēm un izziņas no Elektroniskās deklarēšanas sistēmas iegūstamas īsā laikā, kā arī </w:t>
            </w:r>
            <w:r w:rsidR="00000000" w:rsidRPr="00000000" w:rsidDel="00000000">
              <w:rPr>
                <w:b w:val="1"/>
                <w:i w:val="1"/>
                <w:u w:val="single"/>
                <w:rtl w:val="0"/>
              </w:rPr>
              <w:t xml:space="preserve">dati par nodokļu parādiem tiek aktualizēti katru dienu, samazinot neprecīzu datu iespēju</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attiecībā uz šo jautājumu ir jau notikušas plašas diskusijas saistībā ar likumu “Grozījumi Publisko iepirkumu likumā” (izsludināts 15.03.2022.) un šī likumprojekta mērķis ir konkrēto izslēgšanas iemeslu un tā pārbaudes kārtību salāgot ar likumā “Grozījumi Publisko iepirkumu likumā” (izsludināts 15.03.2022.) ietverto regulējumu. Identiski tas tiek paredzēts arī citos publisko iepirkumu regulējošos likumos (likumā “Grozījumi Sabiedrisko pakalpojumu sniedzēju iepirkumu likumā” (izsludināts 17.05.2022.) un likumā “Grozījumi Publiskās un privātās partnerības likumā” (izsludināts 17.05.2022.)). Ņemot vērā minēto un anotācijā jau norādīto informāciju, nesaskatām nepieciešamību papildināt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44.panta piektās daļas 1.apakšpunkta a. punkts paredz, ka informāciju par 44. panta otrās daļas 1., 5. un 7. punktā minēto izslēgšanas iemeslu</w:t>
            </w:r>
            <w:r w:rsidR="00000000" w:rsidRPr="00000000" w:rsidDel="00000000">
              <w:rPr>
                <w:u w:val="single"/>
                <w:rtl w:val="0"/>
              </w:rPr>
              <w:t xml:space="preserve"> pasūtītājs, kā arī piegādātājs</w:t>
            </w:r>
            <w:r w:rsidR="00000000" w:rsidRPr="00000000" w:rsidDel="00000000">
              <w:rPr>
                <w:rtl w:val="0"/>
              </w:rPr>
              <w:t xml:space="preserve"> par sevi iegūst no Iekšlietu ministrijas Informācijas centra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anotācijā ir sniegts skaidrojums, ka </w:t>
            </w:r>
            <w:r w:rsidR="00000000" w:rsidRPr="00000000" w:rsidDel="00000000">
              <w:rPr>
                <w:u w:val="single"/>
                <w:rtl w:val="0"/>
              </w:rPr>
              <w:t xml:space="preserve">pasūtītājs</w:t>
            </w:r>
            <w:r w:rsidR="00000000" w:rsidRPr="00000000" w:rsidDel="00000000">
              <w:rPr>
                <w:rtl w:val="0"/>
              </w:rPr>
              <w:t xml:space="preserve">, izmantojot Valsts reģionālās attīstības aģentūras pārziņā esošās e-iepirkumu sistēmas e-izziņu apakšsistēmu, varēs pārliecināties, vai Latvijā uz ārvalstī reģistrētu vai pastāvīgi dzīvojošu personu nav attiecināmi 44.panta otrās daļas 1., 4., 5. un 7.punktā minētie izslēgšanas iemesli. Informāciju varēs pārbaudīt Valsts reģionālās attīstības aģentūras pārziņā esošās e-iepirkumu sistēmas e-izziņu apakšsistēmā, kas tāpat kā par Latvijā reģistrētu kandidātu vai pretendentu informāciju iegūst no Iekšlietu ministrijas Informācijas centra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Sodu reģistram ziņas netiktu pieprasītas dubultā, nepieciešams precizēt likumprojektu atbilstoši skaidrojumam anotācijā, ka minētās ziņas pasūtītājs iegūst VRAA e-iepirkumu sistēmas e-izziņu apakšsistēmā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14.pantā ietvertā likuma 44.panta piektās daļas 1.punkta (a) apakšpunktā ietvertais regulējums, paredzot arī piegādātājam tiesības izmantot Ministru kabineta noteikto informācijas sistēmu (jeb VRAA e-iepirkumu sistēmas e-izziņu apakšsistēmu), ir paredzēts tādēļ, lai nodrošinātu maksimālu efektivitāti, proti, lai arī piegādātājs varētu ātri un efektīvi pārliecināties, vai atbilstoši valsts datu bāzēs ietvertajai informācijai uz to nav konstatējams kāds no attiecīgajiem izslēgšanas iemesliem (gan pirms dalības iepirkumā, gan arī iepirkuma norises laikā, ja, piemēram, pasūtītājs tā pieteikumu vai piedāvājumu būtu noraidījis, pamatojoties uz kādu no attiecīgajiem izslēgšanas iemesliem). Vēršam uzmanību, ka pēc būtības šāda pieeja ir jau noteikta arī spēkā esošā likuma regulējumā kopš 2017.gada 1.decembra, kā arī identisks regulējums ir paredzēts arī citos publisko iepirkumu jomas likumos, līdz ar to anotācijā Ministru kabineta noteiktās informācijas sistēmas izmantošanas tiesības netiek apskatītas vēl arī no iebildumā norādītā aspekta jeb piegādātāja tiesību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(Militārās izlūkošanas un drošības dienests - 06.05.2022.)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14.pantā ietvertās likuma 44.panta otrās daļas 2.punkta sākotnēji piedāvātās redakcijas saskaņā ar Tieslietu ministrijas iebildumu ir izslēgti vārdi "kandidāts vai pretendents ir saistīts ar organizēto noziedzību vai kriminālsodāmām darbībām". MIDD neatbalsta šādu normas redakciju zemāk norādīto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savā iebildumā norāda, ka no likumprojekta 14.pantā jaunā redakcijā izteiktā likuma 44.panta otrās daļas 2.punkta un anotācijas skaidri neizriet, kā izpaužas kandidāta vai pretendenta saistība ar organizēto noziedzību vai kriminālsodāmām darbībām, jo īpaši ņemot vērā, ka likumprojekta 14.pantā izteiktā likuma 44.panta otrās daļas 1.punkts jau paredz kandidāta vai pretendenta sasaisti ar vairākiem noziedzīgiem nodarījumiem, t.i., ja minētais subjekts atzīts par vainīgu vai tam piemērots piespiedu ietekmēšanas līdzeklis par cita starpā noziedzīgas organizācijas izveidošanu, vadīšanu, iesaistīšanos tajā vai tās sastāvā ietilpstošā organizētā grupā vai citā noziedzīgā formējumā vai piedalīšanos šādas organizācijas izdarītos noziedzīgos nodarījumos u.c.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 paskaidro, ka saistība ar organizēto noziedzību vai kriminālsodāmām darbībām var izpausties kā tiesībsargājošo vai valsts drošības iestāžu rīcībā esoša operatīva rakstura informācija, kas nepārprotami norāda uz subjekta iesaisti kriminālsodāmās darbībās, arī situācijās, kad subjekts vēl nav atzīts par vainīgu vai tam vēl nav piemērots piespiedu ietekmēšanas līdzeklis. Līdz ar ko, izslēdzot no minētās normas vārdus "kandidāts vai pretendents ir saistīts ar organizēto noziedzību vai kriminālsodāmām darbībām" norādītajā gadījumā valsts drošības iestādes tiktu nepamatoti ierobežotas konkrētās normas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un drošības jomas iepirkumu likumā noteiktie kritēriji ir piemērojami kandidātiem vai pretendentiem, kuri strādās ar specifisku un augstas sensitivitātes informāciju drošības jomā, attiecīgi ir jāparedz iespēja noraidīt kandidātu vai pretendentu, kura reputācija drošības jomā ir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MIDD papildus vērš uzmanību, ka arī Stratēģiskas nozīmes preču aprites likuma 5.panta ceturtās daļas 6.punktā paredzēts valsts drošības iestāžu pienākums vērtēt personas saistību ar organizēto noziedzību vai kriminālsodāmām darbībām, līdz ar ko nav pamata uzskatīt šādu normu par neskaidru.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iepriekšminēto, MIDD lūdz likumprojekta 14.pantā ietverto likuma 44.panta otrās daļas 2.punktu izteikt sākotnēji piedāvātajā redakcijā, tas ir "2) ja pasūtītājs ir saņēmis valsts drošības iestādes atzinumu, ka iepirkuma līguma noslēgšana ar kandidātu vai pretendentu var radīt draudus nacionālajai drošībai, tai skaitā kandidāta vai pretendenta dalība ir vērsta pret Latvijas Republikas drošību, kandidāts vai pretendents ir saistīts ar organizēto noziedzību vai kriminālsodāmām darbībām, ir ziņas, kas apliecina kandidāta vai pretendenta piederību aizliegtiem militarizētiem vai bruņotiem grupējumiem, sabiedriskajām organizācijām (partijām) vai to apvienībām vai reliģiskajām organizācijām;", kā arī precizēt anotāciju saskaņā ar šajā vēstulē sniegto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iebildumu, kā arī ievērojot, ka likumprojekta 14.pantā ietvertais likuma 44.panta otrās daļas 2.punkts attiecas uz valsts drošības iestāžu kompetences jomu, Satversmes aizsardzības birojs un Militārās izlūkošanas un drošības dienests ir kopīgi izvērtējuši minētā iebilduma būtību un vienojušies, ka iebildums ir ņemams vērā. Attiecīgi minētā norma tiek izteikta sākotnēji likumprojektā piedāvātajā redakcijā, kā arī tiek papildināta anotācija, ievērojot Militārās izlūkošanas un drošības dienesta atzinumā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44.</w:t>
            </w:r>
            <w:r w:rsidR="00000000" w:rsidRPr="00000000" w:rsidDel="00000000">
              <w:rPr>
                <w:vertAlign w:val="superscript"/>
                <w:rtl w:val="0"/>
              </w:rPr>
              <w:t xml:space="preserve">1 </w:t>
            </w:r>
            <w:r w:rsidR="00000000" w:rsidRPr="00000000" w:rsidDel="00000000">
              <w:rPr>
                <w:rtl w:val="0"/>
              </w:rPr>
              <w:t xml:space="preserve">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 likumprojekta 15. pantā ietvertā likuma 44.</w:t>
            </w:r>
            <w:r w:rsidR="00000000" w:rsidRPr="00000000" w:rsidDel="00000000">
              <w:rPr>
                <w:vertAlign w:val="superscript"/>
                <w:rtl w:val="0"/>
              </w:rPr>
              <w:t xml:space="preserve">1</w:t>
            </w:r>
            <w:r w:rsidR="00000000" w:rsidRPr="00000000" w:rsidDel="00000000">
              <w:rPr>
                <w:rtl w:val="0"/>
              </w:rPr>
              <w:t xml:space="preserve"> panta un likumprojekta anotācijas neizriet pienācīgs pamatojums direktīvas Nr. 2009/81/EK 39. panta satura noskaidrošanai izmantot Eiropas Parlamenta un Padomes 2014. gada 26. februāra Direktīvas 2014/24/ES par publisko iepirkumu un ar kuru atceļ Direktīvu 2004/18/EK (turpmāk – direktīva Nr. 2014/24/ES) 57. panta 6. un 7. punktā ietverto izņēmumu no izslēgšanas no dalības iepirkuma procedūrā, kas paredz ekonomikas dalībnieka tiesības pierādīt savu uzticamību. Norādām, ka direktīvas Nr. 2009/81/EK 39. pantā minētie izņēmumi vairākos gadījumos ir konstruēti strikti, paredzot, ka, piemēram, dalībvalstis var paredzēt atkāpi no 39. panta 1. punkta pirmajā daļā minētās prasības, lai ievērotu sevišķi svarīgas vispārējas intereses (sk. 39. panta 1. punkta otro daļu). Turklāt iepretim direktīvas Nr. 2014/24/ES 57. panta 6. un 7. punktam direktīva Nr. 2009/81/EK neparedz attiecīgu izņēmumu no izslēgšanas no dalības iepirkuma procedūrā (attiecīgi secināms, ja direktīvā Nr. 2009/81/EK tas būtu paredzēts, tas tiešā tekstā direktīvā būtu noteikts), bet paredz vienīgi konkretizēt izslēgšanas noteikumu ieviešanas nosacījumus saskaņā ar saviem normatīvajiem aktiem un ievērojot Kopienas tiesību aktus (no direktīvas angļu valodas versijas - "Member States shall </w:t>
            </w:r>
            <w:r w:rsidR="00000000" w:rsidRPr="00000000" w:rsidDel="00000000">
              <w:rPr>
                <w:u w:val="single"/>
                <w:rtl w:val="0"/>
              </w:rPr>
              <w:t xml:space="preserve">specify</w:t>
            </w:r>
            <w:r w:rsidR="00000000" w:rsidRPr="00000000" w:rsidDel="00000000">
              <w:rPr>
                <w:rtl w:val="0"/>
              </w:rPr>
              <w:t xml:space="preserve">, in accordance with their national law and having regard for Community law, </w:t>
            </w:r>
            <w:r w:rsidR="00000000" w:rsidRPr="00000000" w:rsidDel="00000000">
              <w:rPr>
                <w:u w:val="single"/>
                <w:rtl w:val="0"/>
              </w:rPr>
              <w:t xml:space="preserve">the implementing conditions</w:t>
            </w:r>
            <w:r w:rsidR="00000000" w:rsidRPr="00000000" w:rsidDel="00000000">
              <w:rPr>
                <w:rtl w:val="0"/>
              </w:rPr>
              <w:t xml:space="preserve"> for this paragraph"), kam pamatā varētu būt direktīvas Nr. 2009/81/EK specifiskā piemērošanas joma (aizsardzības un drošības joma) un slēgto iepirkuma līgumu sensitīvais un militārais raksturs, kas varētu pamatot striktākus ierobežojumus, nekā tie paredzēti direktīvā Nr.2014/24/ES. Attiecīgi lūdzam sniegt pamatotu skaidrojumu par iepriekš minētajiem apsvērumiem (ņemot vērā arī iepriekš šajā atzinumā norādīto par direktīvā Nr.2014/24/ES ietverto prasību interpretāciju). Ja attiecīgu skaidrojumu nav iespējams sniegt, lūdzam izslēgt vai atbilstoši precizēt likumprojekta 15.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2009/81/EK 39.pants nosaka kandidāta vai pretendenta izslēgšanas iemeslus. Lai arī šī panta 1.punktā tiek noteikti obligātie izslēgšanas iemesli, kas nacionālajos normatīvajos aktos dalībvalstīm obligāti ir jāparedz, savukārt 2.punktā tiek noteikti izslēgšanas iemesli, kuru noteikšana nacionālajos normatīvajos aktos tiek atstāta kā dalībvalsts izvēle (fakultatīvie jeb izvēles izslēgšanas iemesli),  no šo abu punktu otrajām daļām ir identiski konstatējams, ka to </w:t>
            </w:r>
            <w:r w:rsidR="00000000" w:rsidRPr="00000000" w:rsidDel="00000000">
              <w:rPr>
                <w:i w:val="1"/>
                <w:rtl w:val="0"/>
              </w:rPr>
              <w:t xml:space="preserve">“piemērošanas nosacījumus dalībvalsts paredz saskaņā ar saviem normatīvajiem aktiem un ievērojot Kopienas tiesību aktus”</w:t>
            </w:r>
            <w:r w:rsidR="00000000" w:rsidRPr="00000000" w:rsidDel="00000000">
              <w:rPr>
                <w:rtl w:val="0"/>
              </w:rPr>
              <w:t xml:space="preserve">. Tāpat šīs direktīvas 39.panta 1.punkta trešajā daļā attiecībā uz obligātajiem izslēgšanas iemesliem ir norādīts, ka dalībvalstis </w:t>
            </w:r>
            <w:r w:rsidR="00000000" w:rsidRPr="00000000" w:rsidDel="00000000">
              <w:rPr>
                <w:i w:val="1"/>
                <w:rtl w:val="0"/>
              </w:rPr>
              <w:t xml:space="preserve">“var paredzēt atkāpi no šā punkta pirmajā daļā minētās prasības, lai ievērotu atsevišķas svarīgas vispārējās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Eiropas Savienības dalībvalstu regulējumu attiecībā uz aizsardzības un drošības jomas iepirkumiem, ir konstatējams, ka dalībvalstis ir izvēlējušās dažādus risinājumus, kā piemērot izslēgšanas iemeslus. Tā, piemēram, Somija gan attiecībā uz obligātajiem izslēgšanas iemesliem, gan arī attiecībā uz izvēles izslēgšanas iemesliem pēc būtības ir paredzējusi uzticamības atjaunošanas/ “pašattīrīšanās” jeb </w:t>
            </w:r>
            <w:r w:rsidR="00000000" w:rsidRPr="00000000" w:rsidDel="00000000">
              <w:rPr>
                <w:i w:val="1"/>
                <w:rtl w:val="0"/>
              </w:rPr>
              <w:t xml:space="preserve">self-cleaning</w:t>
            </w:r>
            <w:r w:rsidR="00000000" w:rsidRPr="00000000" w:rsidDel="00000000">
              <w:rPr>
                <w:rtl w:val="0"/>
              </w:rPr>
              <w:t xml:space="preserve"> regulējumu. Proti, saskaņā ar Somijas aizsardzības un drošības jomas iepirkumu regulējuma (</w:t>
            </w:r>
            <w:r w:rsidR="00000000" w:rsidRPr="00000000" w:rsidDel="00000000">
              <w:rPr>
                <w:i w:val="1"/>
                <w:rtl w:val="0"/>
              </w:rPr>
              <w:t xml:space="preserve">Act on public procurement in the fields of Defence and security; https://www.defmin.fi/files/3784/The_Act_on_Public_Contracts_in_the_Fields_of_Defence_and_Security.pdf</w:t>
            </w:r>
            <w:r w:rsidR="00000000" w:rsidRPr="00000000" w:rsidDel="00000000">
              <w:rPr>
                <w:rtl w:val="0"/>
              </w:rPr>
              <w:t xml:space="preserve">) 47.panta ceturto daļu arī tad, ja ir konstatējama kandidāta vai pretendenta atbilstība izslēgšanas iemeslam, tas var tikt neizslēgts, ja ir konstatējamas sevišķi svarīgas vispārējās intereses vai ir konstatējams, ka notiesātā persona vairs neieņem atbildīgu amatu uzņēmumā, kas iesniedz  piedāvājumu (proti:</w:t>
            </w:r>
            <w:r w:rsidR="00000000" w:rsidRPr="00000000" w:rsidDel="00000000">
              <w:rPr>
                <w:i w:val="1"/>
                <w:rtl w:val="0"/>
              </w:rPr>
              <w:t xml:space="preserve">“A derogation from the requirement to exclude from the participation in competitive bidding a candidate or tenderer who has been the subject of a conviction for a reason referred to in this Section may be provided for overriding requirements in the general interest or subject to the condition that the convicted person no longer holds a responsible position in the undertaking submitting the tender”</w:t>
            </w:r>
            <w:r w:rsidR="00000000" w:rsidRPr="00000000" w:rsidDel="00000000">
              <w:rPr>
                <w:rtl w:val="0"/>
              </w:rPr>
              <w:t xml:space="preserve">). Tāpat minētā likuma 48.panta otrajā daļā ir norādīts arī uz citiem pašattīrīšanās aspektiem, kas var tikt vērtēti, piemēram, pārkāpuma smagums, saistība ar līguma priekšmetu, noilgums,nodarījuma sekas, veiktās korektīvās darbības (proti: </w:t>
            </w:r>
            <w:r w:rsidR="00000000" w:rsidRPr="00000000" w:rsidDel="00000000">
              <w:rPr>
                <w:i w:val="1"/>
                <w:rtl w:val="0"/>
              </w:rPr>
              <w:t xml:space="preserve">“The provisions laid down in subsection 1, points 3 and 4 shall apply in cases where the person guilty of a mistake or negligence is a director or any person having powers of representation, decision or control in respect of the candidate or tenderer. The decision on the exclusion may take account of other matters, such as the seriousness of the offence or omission, the connection with the object of the contract, the time lapsed, any other implications of the offence and any remedial action taken by the person convicted of the offence or omission”</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Zviedrija savā regulējumā (</w:t>
            </w:r>
            <w:r w:rsidR="00000000" w:rsidRPr="00000000" w:rsidDel="00000000">
              <w:rPr>
                <w:i w:val="1"/>
                <w:rtl w:val="0"/>
              </w:rPr>
              <w:t xml:space="preserve">the Defence and Security Procurement Act (2011:1029), https://www.riksdagen.se/sv/dokument-lagar/dokument/svensk-forfattningssamling/lag-20111029-om-upphandling-pa-forsvars--och_sfs-2011-1029</w:t>
            </w:r>
            <w:r w:rsidR="00000000" w:rsidRPr="00000000" w:rsidDel="00000000">
              <w:rPr>
                <w:rtl w:val="0"/>
              </w:rPr>
              <w:t xml:space="preserve">) attiecībā uz izslēgšanas iemeslu piemērošanu ir noteikusi, ka, ja ir īpaši iemesli, pasūtītājs var atturēties no tāda piegādātāja izslēgšanas, uz kuru attiecas noteiktie izslēgšanas iemesli (11.panta 1.§ un 2.§). Igaunijas publisko iepirkumu regulējuma (</w:t>
            </w:r>
            <w:r w:rsidR="00000000" w:rsidRPr="00000000" w:rsidDel="00000000">
              <w:rPr>
                <w:i w:val="1"/>
                <w:rtl w:val="0"/>
              </w:rPr>
              <w:t xml:space="preserve">Public Procurement Act, https://www.riigiteataja.ee/akt/108072020008?dbNotReadOnly=true&amp;RIIGITEATAJA_AADRESS=https%3A%2F%2Fwww.riigiteataja.ee&amp;RIIGITEATAJA_AADRESS_HALDUS=https%3A%2F%2Fwww.riigiteataja.ee#para181lg6</w:t>
            </w:r>
            <w:r w:rsidR="00000000" w:rsidRPr="00000000" w:rsidDel="00000000">
              <w:rPr>
                <w:rtl w:val="0"/>
              </w:rPr>
              <w:t xml:space="preserve">) 95.§ trešajā daļā ir noteikts, ka izslēgšanas iemesli var netikt piemēroti, ja līguma noslēgšana ir sevišķi svarīga sabiedrības interesēm un, izslēdzot konkrēto piegādātāju, līgums vispār netiktu slēgts (proti: </w:t>
            </w:r>
            <w:r w:rsidR="00000000" w:rsidRPr="00000000" w:rsidDel="00000000">
              <w:rPr>
                <w:i w:val="1"/>
                <w:rtl w:val="0"/>
              </w:rPr>
              <w:t xml:space="preserve">“Subsection (1) of this section need not be applied by the contracting authority if the conclusion of the public contract is essential for a reason arising from an overriding public interest and if the tenderer or applicant is eliminated, the contract would not be concluded”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Direktīva 2009/81/EK tika pieņemta 2009.gada 13.jūlijā un kopš tā laika ir ievērojami attīstījusies publisko iepirkumu prakse, proti, piemēram, Eiropas Parlamenta un Padomes Direktīva 2014/24/ES (2014.gada 26.februāris) par publisko iepirkumu un ar ko atceļ Direktīvu 2004/18/EK kā jaunāks tiesību akts salīdzinājumā sniedz detalizētāku regulējumu (norādes) par vairākiem jautājumiem, ietverot praksē konstatēto un Eiropas Savienības tiesas iedibinātās judikatūras aspektus (piemēram, Eiropas Savienības tiesa lietas</w:t>
            </w:r>
            <w:r w:rsidR="00000000" w:rsidRPr="00000000" w:rsidDel="00000000">
              <w:rPr>
                <w:i w:val="1"/>
                <w:rtl w:val="0"/>
              </w:rPr>
              <w:t xml:space="preserve"> Connexxion Taxi Services BV </w:t>
            </w:r>
            <w:r w:rsidR="00000000" w:rsidRPr="00000000" w:rsidDel="00000000">
              <w:rPr>
                <w:rtl w:val="0"/>
              </w:rPr>
              <w:t xml:space="preserve">C‑171/15 sprieduma 28. un 29.punktā ir norādījusi </w:t>
            </w:r>
            <w:r w:rsidR="00000000" w:rsidRPr="00000000" w:rsidDel="00000000">
              <w:rPr>
                <w:i w:val="1"/>
                <w:rtl w:val="0"/>
              </w:rPr>
              <w:t xml:space="preserve">“[..] saistībā ar Direktīvas 2004/18 piemērošanas jomā ietilpstošajiem publiskajiem iepirkumiem tās 45.panta 2.punktā minēto septiņu ar kandidātu profesionālo godīgumu, maksātspēju vai uzticamību saistīto izslēgšanas gadījumu piemērošanu šajā pantā ir paredzēts atstāt dalībvalstu ziņā, par ko liecina šīs tiesību normas sākumā rodamā frāze “dalību līgumā var atteikt” [..]. </w:t>
            </w:r>
            <w:r w:rsidR="00000000" w:rsidRPr="00000000" w:rsidDel="00000000">
              <w:rPr>
                <w:i w:val="1"/>
                <w:u w:val="single"/>
                <w:rtl w:val="0"/>
              </w:rPr>
              <w:t xml:space="preserve">Turklāt saskaņā ar šā 45.panta 2.punkta otro daļu dalībvalstīm ir jāparedz šā 2.punkta īstenošanas nosacījumi saskaņā ar saviem valsts tiesību aktiem</w:t>
            </w:r>
            <w:r w:rsidR="00000000" w:rsidRPr="00000000" w:rsidDel="00000000">
              <w:rPr>
                <w:i w:val="1"/>
                <w:rtl w:val="0"/>
              </w:rPr>
              <w:t xml:space="preserve"> un ievērojot Savienības tiesības”</w:t>
            </w:r>
            <w:r w:rsidR="00000000" w:rsidRPr="00000000" w:rsidDel="00000000">
              <w:rPr>
                <w:rtl w:val="0"/>
              </w:rPr>
              <w:t xml:space="preserve"> un </w:t>
            </w:r>
            <w:r w:rsidR="00000000" w:rsidRPr="00000000" w:rsidDel="00000000">
              <w:rPr>
                <w:i w:val="1"/>
                <w:rtl w:val="0"/>
              </w:rPr>
              <w:t xml:space="preserve">“Līdz ar to Direktīvas 2004/18 45. panta 2. punktā </w:t>
            </w:r>
            <w:r w:rsidR="00000000" w:rsidRPr="00000000" w:rsidDel="00000000">
              <w:rPr>
                <w:i w:val="1"/>
                <w:u w:val="single"/>
                <w:rtl w:val="0"/>
              </w:rPr>
              <w:t xml:space="preserve">nav paredzēts, ka tajā norādītie izslēgšanas pamati visā Savienībā būtu jāpiemēro vienveidīgi,</w:t>
            </w:r>
            <w:r w:rsidR="00000000" w:rsidRPr="00000000" w:rsidDel="00000000">
              <w:rPr>
                <w:i w:val="1"/>
                <w:rtl w:val="0"/>
              </w:rPr>
              <w:t xml:space="preserve"> jo dalībvalstīm ir tiesības šos izslēgšanas pamatus vai nu nepiemērot vispār, </w:t>
            </w:r>
            <w:r w:rsidR="00000000" w:rsidRPr="00000000" w:rsidDel="00000000">
              <w:rPr>
                <w:i w:val="1"/>
                <w:u w:val="single"/>
                <w:rtl w:val="0"/>
              </w:rPr>
              <w:t xml:space="preserve">vai arī valsts tiesiskajā regulējumā iekļaut ar dažādu stingruma pakāpi, kas var atšķirties atkarībā no situācijas, ņemot vērā valsts līmenī pastāvošus juridiska, ekonomiska vai sociāla rakstura apsvērumus. Šajā ziņā dalībvalstīm ir tiesības atvieglot vai mīkstināt šajā tiesību normā noteiktos kritērijus</w:t>
            </w:r>
            <w:r w:rsidR="00000000" w:rsidRPr="00000000" w:rsidDel="00000000">
              <w:rPr>
                <w:i w:val="1"/>
                <w:rtl w:val="0"/>
              </w:rPr>
              <w:t xml:space="preserve"> [..]”)</w:t>
            </w:r>
            <w:r w:rsidR="00000000" w:rsidRPr="00000000" w:rsidDel="00000000">
              <w:rPr>
                <w:rtl w:val="0"/>
              </w:rPr>
              <w:t xml:space="preserve">. Attiecīgi nav pamata pieņemt, ka fakts, ka Direktīva Nr.2009/81/EK neietver tieši tādu regulējumu, kāds ir ietverts Direktīvas Nr.2014/24/ES 57.panta 6. un 7.punktā, nozīmē to, ka dalībvalstīm nav tiesiska pamata paredzēt nosacījumus attiecībā uz kandidātu vai pretendentu “pašattīrīšanos” jeb regulējumu uzticamības nodrošināšanai, tā kā atbilstoši Direktīvas Nr. 2009/81/EK regulējumam izslēgšanas iemeslu piemērošanas nosacījumus paredz tieši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šajā aspektā būtu vērā ņemams Eiropas Savienības tiesas lietas </w:t>
            </w:r>
            <w:r w:rsidR="00000000" w:rsidRPr="00000000" w:rsidDel="00000000">
              <w:rPr>
                <w:i w:val="1"/>
                <w:rtl w:val="0"/>
              </w:rPr>
              <w:t xml:space="preserve">Tim SpA- Direzione e coordinamento Vivendi SA </w:t>
            </w:r>
            <w:r w:rsidR="00000000" w:rsidRPr="00000000" w:rsidDel="00000000">
              <w:rPr>
                <w:rtl w:val="0"/>
              </w:rPr>
              <w:t xml:space="preserve">C 395/18 sprieduma 33., 45., 48. un 54.punktā norādītais, proti: </w:t>
            </w:r>
            <w:r w:rsidR="00000000" w:rsidRPr="00000000" w:rsidDel="00000000">
              <w:rPr>
                <w:i w:val="1"/>
                <w:rtl w:val="0"/>
              </w:rPr>
              <w:t xml:space="preserve">“[..] vispirms ir jānorāda, ka saskaņā ar šīs direktīvas 57. panta 7. punktu </w:t>
            </w:r>
            <w:r w:rsidR="00000000" w:rsidRPr="00000000" w:rsidDel="00000000">
              <w:rPr>
                <w:i w:val="1"/>
                <w:u w:val="single"/>
                <w:rtl w:val="0"/>
              </w:rPr>
              <w:t xml:space="preserve">dalībvalstīm</w:t>
            </w:r>
            <w:r w:rsidR="00000000" w:rsidRPr="00000000" w:rsidDel="00000000">
              <w:rPr>
                <w:i w:val="1"/>
                <w:rtl w:val="0"/>
              </w:rPr>
              <w:t xml:space="preserve">, ievērojot Savienības tiesību aktus, ir </w:t>
            </w:r>
            <w:r w:rsidR="00000000" w:rsidRPr="00000000" w:rsidDel="00000000">
              <w:rPr>
                <w:i w:val="1"/>
                <w:u w:val="single"/>
                <w:rtl w:val="0"/>
              </w:rPr>
              <w:t xml:space="preserve">jānosaka šā panta “īstenošanas nosacījum[i]”</w:t>
            </w:r>
            <w:r w:rsidR="00000000" w:rsidRPr="00000000" w:rsidDel="00000000">
              <w:rPr>
                <w:i w:val="1"/>
                <w:rtl w:val="0"/>
              </w:rPr>
              <w:t xml:space="preserve">, “[..] pirmkārt, ka līgumslēdzējām iestādēm visā procedūras laikā ir jāievēro Direktīvas 2014/24 18.pantā noteiktie iepirkuma principi, tostarp vienlīdzīgas attieksmes un samērīguma principi [..], un, otrkārt, ka </w:t>
            </w:r>
            <w:r w:rsidR="00000000" w:rsidRPr="00000000" w:rsidDel="00000000">
              <w:rPr>
                <w:i w:val="1"/>
                <w:u w:val="single"/>
                <w:rtl w:val="0"/>
              </w:rPr>
              <w:t xml:space="preserve">saskaņā ar samērīguma principu, kas ir Savienības tiesību vispārējs princips</w:t>
            </w:r>
            <w:r w:rsidR="00000000" w:rsidRPr="00000000" w:rsidDel="00000000">
              <w:rPr>
                <w:i w:val="1"/>
                <w:rtl w:val="0"/>
              </w:rPr>
              <w:t xml:space="preserve">, dalībvalstu vai līgumslēdzēju iestāžu izstrādātie noteikumi par šīs direktīvas noteikumu īstenošanu, piemēram, noteikumi par minētās direktīvas 57.panta īstenošanas nosacījumiem, nedrīkst pārsniegt to, kas ir vajadzīgs, lai sasniegtu šajā direktīvā noteiktos mērķus [..]”, “[..]</w:t>
            </w:r>
            <w:r w:rsidR="00000000" w:rsidRPr="00000000" w:rsidDel="00000000">
              <w:rPr>
                <w:i w:val="1"/>
                <w:rtl w:val="0"/>
              </w:rPr>
              <w:t xml:space="preserve">piemērojot šīs direktīvas 57. panta 4. punkta a) apakšpunktā paredzētos fakultatīvos izslēgšanas iemeslus, līgumslēdzējām iestādēm būtu jāpievērš īpaša uzmanība samērīguma principam, it īpaši – ņemot vērā izdarīto pārkāpumu nenozīmīgo raksturu vai nelielu neatbilstību atkārtošanos. Šai uzmanībai būtu jābūt vēl jo svarīgākai tad, ja valsts tiesiskajā regulējumā paredzētā izslēgšana uz saimnieciskās darbības subjektu, kurš ir iesniedzis piedāvājumu, ir attiecināma tāda pārkāpuma dēļ, kuru ir pieļāvis nevis pats saimnieciskās darbības subjekts, bet gan persona, kura nav saistīta ar tā uzņēmumu un attiecībā uz kuras kontroli tam var nebūt visu vajadzīgo pilnvaru un visu nepieciešamo līdzekļu.” </w:t>
            </w:r>
            <w:r w:rsidR="00000000" w:rsidRPr="00000000" w:rsidDel="00000000">
              <w:rPr>
                <w:rtl w:val="0"/>
              </w:rPr>
              <w:t xml:space="preserve">un </w:t>
            </w:r>
            <w:r w:rsidR="00000000" w:rsidRPr="00000000" w:rsidDel="00000000">
              <w:rPr>
                <w:i w:val="1"/>
                <w:rtl w:val="0"/>
              </w:rPr>
              <w:t xml:space="preserve">“Līdz ar to saimnieciskās darbības subjekta, kurš ir iesniedzis piedāvājumu, </w:t>
            </w:r>
            <w:r w:rsidR="00000000" w:rsidRPr="00000000" w:rsidDel="00000000">
              <w:rPr>
                <w:i w:val="1"/>
                <w:u w:val="single"/>
                <w:rtl w:val="0"/>
              </w:rPr>
              <w:t xml:space="preserve">automātiska izslēgšana</w:t>
            </w:r>
            <w:r w:rsidR="00000000" w:rsidRPr="00000000" w:rsidDel="00000000">
              <w:rPr>
                <w:i w:val="1"/>
                <w:rtl w:val="0"/>
              </w:rPr>
              <w:t xml:space="preserve">, kas ir paredzēta valsts tiesiskajā regulējumā, ciktāl ar to, pirmkārt, šim saimnieciskās darbības subjektam tiek liegta iespēja sniegt detalizētas ziņas par situāciju un, otrkārt, līgumslēdzējai iestādei tiek liegta šajā ziņā pastāvoša rīcības brīvība, </w:t>
            </w:r>
            <w:r w:rsidR="00000000" w:rsidRPr="00000000" w:rsidDel="00000000">
              <w:rPr>
                <w:i w:val="1"/>
                <w:u w:val="single"/>
                <w:rtl w:val="0"/>
              </w:rPr>
              <w:t xml:space="preserve">nevar tikt uzskatīta par saderīgu ar</w:t>
            </w:r>
            <w:r w:rsidR="00000000" w:rsidRPr="00000000" w:rsidDel="00000000">
              <w:rPr>
                <w:i w:val="1"/>
                <w:rtl w:val="0"/>
              </w:rPr>
              <w:t xml:space="preserve"> Direktīvas 2014/24 57. panta 4. un 6. punktu un</w:t>
            </w:r>
            <w:r w:rsidR="00000000" w:rsidRPr="00000000" w:rsidDel="00000000">
              <w:rPr>
                <w:i w:val="1"/>
                <w:u w:val="single"/>
                <w:rtl w:val="0"/>
              </w:rPr>
              <w:t xml:space="preserve"> samērīguma principu</w:t>
            </w:r>
            <w:r w:rsidR="00000000" w:rsidRPr="00000000" w:rsidDel="00000000">
              <w:rPr>
                <w:i w:val="1"/>
                <w:rtl w:val="0"/>
              </w:rPr>
              <w:t xml:space="preserve">” (https://eur-lex.europa.eu/legal-content/LV/TXT/?qid=1580881926845&amp;uri=CELEX:62018CJ0395)</w:t>
            </w:r>
            <w:r w:rsidR="00000000" w:rsidRPr="00000000" w:rsidDel="00000000">
              <w:rPr>
                <w:rtl w:val="0"/>
              </w:rPr>
              <w:t xml:space="preserve">. Arī Eiropas Komisijas paziņojumā par līdzekļiem cīņai pret slepenām norunām publiskajā iepirkumā un par norādījumiem, kā piemērot ar tām saistīto izslēgšanas iemeslu (2021/C 91/01), ir akcentētas ekonomikas dalībnieku tiesības pierādīt savu uzticamību un nepieciešamību līgumslēdzējām iestādēm samērīgi izvērtēt iesniegtos argumentus.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44.</w:t>
            </w:r>
            <w:r w:rsidR="00000000" w:rsidRPr="00000000" w:rsidDel="00000000">
              <w:rPr>
                <w:vertAlign w:val="superscript"/>
                <w:rtl w:val="0"/>
              </w:rPr>
              <w:t xml:space="preserve">1 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44.</w:t>
            </w:r>
            <w:r w:rsidR="00000000" w:rsidRPr="00000000" w:rsidDel="00000000">
              <w:rPr>
                <w:vertAlign w:val="superscript"/>
                <w:rtl w:val="0"/>
              </w:rPr>
              <w:t xml:space="preserve">1 </w:t>
            </w:r>
            <w:r w:rsidR="00000000" w:rsidRPr="00000000" w:rsidDel="00000000">
              <w:rPr>
                <w:rtl w:val="0"/>
              </w:rPr>
              <w:t xml:space="preserve">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15. pantu ar likumprojekta anotāciju. Proti, norādām, ka likumprojekta anotācijā minēts, ka jaunajā [likuma] 44.</w:t>
            </w:r>
            <w:r w:rsidR="00000000" w:rsidRPr="00000000" w:rsidDel="00000000">
              <w:rPr>
                <w:vertAlign w:val="superscript"/>
                <w:rtl w:val="0"/>
              </w:rPr>
              <w:t xml:space="preserve">1</w:t>
            </w:r>
            <w:r w:rsidR="00000000" w:rsidRPr="00000000" w:rsidDel="00000000">
              <w:rPr>
                <w:rtl w:val="0"/>
              </w:rPr>
              <w:t xml:space="preserve">panta regulējumā tiek noteikts, ka, konstatējot, ka pastāv likumā minētie izslēgšanas iemesli (izņemot saistībā ar valsts drošības iestāžu atzinumos norādītajiem gadījumiem, nodokļu parādiem un </w:t>
            </w:r>
            <w:r w:rsidR="00000000" w:rsidRPr="00000000" w:rsidDel="00000000">
              <w:rPr>
                <w:u w:val="single"/>
                <w:rtl w:val="0"/>
              </w:rPr>
              <w:t xml:space="preserve">nepatiesi sniegtu informāciju</w:t>
            </w:r>
            <w:r w:rsidR="00000000" w:rsidRPr="00000000" w:rsidDel="00000000">
              <w:rPr>
                <w:rtl w:val="0"/>
              </w:rPr>
              <w:t xml:space="preserve">), pasūtītājs dod kandidātam vai pretendentam termiņu, vismaz 10 dienas pēc informācijas pieprasījuma nosūtīšanas dienas, skaidrojumu un pierādījumu iesniegšanai, kas apliecinātu kandidāta vai pretendenta uzticamību, tomēr 44.</w:t>
            </w:r>
            <w:r w:rsidR="00000000" w:rsidRPr="00000000" w:rsidDel="00000000">
              <w:rPr>
                <w:vertAlign w:val="superscript"/>
                <w:rtl w:val="0"/>
              </w:rPr>
              <w:t xml:space="preserve">1</w:t>
            </w:r>
            <w:r w:rsidR="00000000" w:rsidRPr="00000000" w:rsidDel="00000000">
              <w:rPr>
                <w:rtl w:val="0"/>
              </w:rPr>
              <w:t xml:space="preserve">pants pēc būtības atbilstoši tā pirmajai daļai attiecināms arī uz gadījumiem, ja pasūtītājs konstatē, ka kandidāts vai pretendents būtu izslēdzams no dalības iepirkuma procedūrā, cita starpā pamatojoties uz šā likuma 44. panta otrās daļas 8. punktā minēto izslēgšanas iemeslu (kandidāts vai pretendents ir sniedzis nepatiesu informāciju, lai apliecinātu atbilstību šā panta noteikumiem vai saskaņā ar šo likumu noteiktajām kandidātu un pretendentu kvalifikācijas prasībām, vai nav sniedzis prasīto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sākotnējās ietekmes novērtējuma ziņojumu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44.</w:t>
            </w:r>
            <w:r w:rsidR="00000000" w:rsidRPr="00000000" w:rsidDel="00000000">
              <w:rPr>
                <w:vertAlign w:val="superscript"/>
                <w:rtl w:val="0"/>
              </w:rPr>
              <w:t xml:space="preserve">1 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44.</w:t>
            </w:r>
            <w:r w:rsidR="00000000" w:rsidRPr="00000000" w:rsidDel="00000000">
              <w:rPr>
                <w:vertAlign w:val="superscript"/>
                <w:rtl w:val="0"/>
              </w:rPr>
              <w:t xml:space="preserve">1 </w:t>
            </w:r>
            <w:r w:rsidR="00000000" w:rsidRPr="00000000" w:rsidDel="00000000">
              <w:rPr>
                <w:rtl w:val="0"/>
              </w:rPr>
              <w:t xml:space="preserve">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15. pantā ietvertais regulējums vairākos gadījumos ir neskaidrs, kādēļ lūdzam to atbilstoši precizēt. Tai skaitā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skaidra saikne starp likumprojekta 14. pantā izteiktā likuma 44. panta otrās daļas 1., 3., 5., 6., 7. un 8. punktā minētajiem izslēgšanas iemesliem un to, kāds skaidrojums un pierādījumi pretendentam vai kandidātam jāsniedz, kā arī to, kādi kritēriji pasūtītājam būs jāizvērtē. Piemēram, bet ne tikai, 44. panta otrās daļas 6. punkts paredz, ka ir pasludināts kandidāta vai pretendenta maksātnespējas process, apturēta kandidāta vai pretendenta saimnieciskā darbība, kandidāts vai pretendents tiek likvidēts, tomēr šādā gadījumā nav skaidri saprotams pamatojums kandidātam vai pretendentam skaidrot vai pierādīt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 tāpat nav skaidri šādos gadījumos atbilstoši 44.</w:t>
            </w:r>
            <w:r w:rsidR="00000000" w:rsidRPr="00000000" w:rsidDel="00000000">
              <w:rPr>
                <w:vertAlign w:val="superscript"/>
                <w:rtl w:val="0"/>
              </w:rPr>
              <w:t xml:space="preserve">1</w:t>
            </w:r>
            <w:r w:rsidR="00000000" w:rsidRPr="00000000" w:rsidDel="00000000">
              <w:rPr>
                <w:rtl w:val="0"/>
              </w:rPr>
              <w:t xml:space="preserve"> panta trešajai daļai vērtēt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44.</w:t>
            </w:r>
            <w:r w:rsidR="00000000" w:rsidRPr="00000000" w:rsidDel="00000000">
              <w:rPr>
                <w:vertAlign w:val="superscript"/>
                <w:rtl w:val="0"/>
              </w:rPr>
              <w:t xml:space="preserve">1</w:t>
            </w:r>
            <w:r w:rsidR="00000000" w:rsidRPr="00000000" w:rsidDel="00000000">
              <w:rPr>
                <w:rtl w:val="0"/>
              </w:rPr>
              <w:t xml:space="preserve"> panta pirmās un sestās daļas nav skaidri saprotams, kādā termiņā skaidrojums un pierādījumi ir jāsniedz, jo minētais regulējums attiecībā uz termiņu ir pretrunīgs;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skaidrs, kāda veida pierādījumi ir jāiesniedz, proti, nav saprotams, vai atbilstoši 44.</w:t>
            </w:r>
            <w:r w:rsidR="00000000" w:rsidRPr="00000000" w:rsidDel="00000000">
              <w:rPr>
                <w:vertAlign w:val="superscript"/>
                <w:rtl w:val="0"/>
              </w:rPr>
              <w:t xml:space="preserve">1</w:t>
            </w:r>
            <w:r w:rsidR="00000000" w:rsidRPr="00000000" w:rsidDel="00000000">
              <w:rPr>
                <w:rtl w:val="0"/>
              </w:rPr>
              <w:t xml:space="preserve"> panta sestajai daļai jāiesniedz dokumenti vai var tikt iesniegti arī citi pierādījumi. Nepieciešamības gadījumā atbilstošu skaidrojumu par minēto lūdzam sniegt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likumprojekta 15.pantā ietvertā 44.</w:t>
            </w:r>
            <w:r w:rsidR="00000000" w:rsidRPr="00000000" w:rsidDel="00000000">
              <w:rPr>
                <w:vertAlign w:val="superscript"/>
                <w:rtl w:val="0"/>
              </w:rPr>
              <w:t xml:space="preserve">1</w:t>
            </w:r>
            <w:r w:rsidR="00000000" w:rsidRPr="00000000" w:rsidDel="00000000">
              <w:rPr>
                <w:rtl w:val="0"/>
              </w:rPr>
              <w:t xml:space="preserve"> panta sestās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iebildumu, ka no likumprojektā ietvertajām normām nav skaidra saikne starp izslēgšanas iemesliem un to, kādi pierādījumi ir jāiesniedz, līdz ar to – kas pasūtītājam būs jāizvērtē, ir norādāms, ka sākotnēji ir jāizprot pašattīrīšanās jeb </w:t>
            </w:r>
            <w:r w:rsidR="00000000" w:rsidRPr="00000000" w:rsidDel="00000000">
              <w:rPr>
                <w:i w:val="1"/>
                <w:rtl w:val="0"/>
              </w:rPr>
              <w:t xml:space="preserve">self-cleaning</w:t>
            </w:r>
            <w:r w:rsidR="00000000" w:rsidRPr="00000000" w:rsidDel="00000000">
              <w:rPr>
                <w:rtl w:val="0"/>
              </w:rPr>
              <w:t xml:space="preserve"> koncepts. Publiskais iepirkums paredz publiskā finansējuma izmantošanu, tādējādi ir nepieciešams rast balansu starp dažādiem tiesiskiem un ekonomiskiem aspektiem, proti, gan nodrošināt to, ka publisko finansējumu iegūst piegādātājs, kurš spēj pierādīt savu godprātību un līdz ar to uzticamību, gan arī nodrošināt konkurenci un iegūt izdevīgāko/labāko piedāvājumu. Publiskais iepirkums ir būtisks instruments, kas motivē piegādātājus saglabāt vai atgūt savu labo reputāciju, kas ir arī sabiedrības interesēs, vērtējot stratēģiski. Līdz ar to publisko iepirkumu regulējums paredz, ka, ja kandidāts vai pretendents tomēr savā darbībā ir pieļāvis kļūdas, tam ir iespēja, aktīvi un mērķtiecīgi rīkojoties un spējot pierādīt šo darbību efektivitāti, atgūt savu reputāciju un atgriezties publisko iepirkumu apritē. Savukārt, ja šāda rīcība no tirgus dalībnieka puses nav bijusi vai arī tā nav bijusi pietiekama, tam tiek liegta iespēja iegūt publisko pasūtījumu un līdz ar to publisko jeb visas sabiedrības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15.pantā ietvertā 44.</w:t>
            </w:r>
            <w:r w:rsidR="00000000" w:rsidRPr="00000000" w:rsidDel="00000000">
              <w:rPr>
                <w:vertAlign w:val="superscript"/>
                <w:rtl w:val="0"/>
              </w:rPr>
              <w:t xml:space="preserve">1</w:t>
            </w:r>
            <w:r w:rsidR="00000000" w:rsidRPr="00000000" w:rsidDel="00000000">
              <w:rPr>
                <w:rtl w:val="0"/>
              </w:rPr>
              <w:t xml:space="preserve">panta pirmā un otrā daļa nosaka, ka situācijā, kad ir konstatējams, ka uz kandidātu vai pretendentu attiecas kāds no izslēgšanas iemesliem un attiecīgi ir apšaubāma tā godprātība, tiem ir tiesības iesniegt skaidrojumu un pierādījumus, proti, dokumentus, kas apliecina/pierāda to uzticamību. Turklāt minētā panta otrā daļa jau nosaka, par ko var tikt iesniegts skaidrojums un pierādījumi -  </w:t>
            </w:r>
            <w:r w:rsidR="00000000" w:rsidRPr="00000000" w:rsidDel="00000000">
              <w:rPr>
                <w:i w:val="1"/>
                <w:rtl w:val="0"/>
              </w:rPr>
              <w:t xml:space="preserve">“par nodarītā kaitējuma atlīdzināšanu vai noslēgtu vienošanos par nodarītā kaitējuma atlīdzināšanu, sadarbošanos ar izmeklēšanas iestādēm un veiktajiem tehniskajiem, organizatoriskajiem vai personālvadības pasākumiem”</w:t>
            </w:r>
            <w:r w:rsidR="00000000" w:rsidRPr="00000000" w:rsidDel="00000000">
              <w:rPr>
                <w:rtl w:val="0"/>
              </w:rPr>
              <w:t xml:space="preserve">. Kandidāta vai pretendenta pienākums ir pierādīt, ka tam var tikt uzticēta konkrētā līguma izpilde, bet pasūtītāja pienākums ir gūt pārliecību, ka iesniegtie pierādījumi ir pietiekami, nepieciešamības gadījumā piesaistot arī kompetentās institūcijas. Līdz ar to uzsvars ir uz pierādīšanu, nevis konkrētiem dokumentu veidiem kā tādiem. Šajā aspektā ir vērā ņems arī Eiropas Komisijas </w:t>
            </w:r>
            <w:r w:rsidR="00000000" w:rsidRPr="00000000" w:rsidDel="00000000">
              <w:rPr>
                <w:i w:val="1"/>
                <w:rtl w:val="0"/>
              </w:rPr>
              <w:t xml:space="preserve">paziņojums par līdzekļiem cīņai pret slepenām norunām publiskajā iepirkumā un par norādījumiem, kā piemērot ar tām saistīto izslēgšanas iemeslu (2021/C 91/01)</w:t>
            </w:r>
            <w:r w:rsidR="00000000" w:rsidRPr="00000000" w:rsidDel="00000000">
              <w:rPr>
                <w:rtl w:val="0"/>
              </w:rPr>
              <w:t xml:space="preserve">, kur citstarp ir norādīts, ka </w:t>
            </w:r>
            <w:r w:rsidR="00000000" w:rsidRPr="00000000" w:rsidDel="00000000">
              <w:rPr>
                <w:i w:val="1"/>
                <w:rtl w:val="0"/>
              </w:rPr>
              <w:t xml:space="preserve">“[k]onkrētā informācija vai pierādījumi, kurus ekonomikas dalībnieks var iesniegt līgumslēdzējai iestādei novērtējuma veikšanai, </w:t>
            </w:r>
            <w:r w:rsidR="00000000" w:rsidRPr="00000000" w:rsidDel="00000000">
              <w:rPr>
                <w:i w:val="1"/>
                <w:u w:val="single"/>
                <w:rtl w:val="0"/>
              </w:rPr>
              <w:t xml:space="preserve">ir atšķirīgi atkarībā no konkrētā gadījuma</w:t>
            </w:r>
            <w:r w:rsidR="00000000" w:rsidRPr="00000000" w:rsidDel="00000000">
              <w:rPr>
                <w:i w:val="1"/>
                <w:rtl w:val="0"/>
              </w:rPr>
              <w:t xml:space="preserve">”</w:t>
            </w:r>
            <w:r w:rsidR="00000000" w:rsidRPr="00000000" w:rsidDel="00000000">
              <w:rPr>
                <w:rtl w:val="0"/>
              </w:rPr>
              <w:t xml:space="preserve">. Attiecīgi katrs gadījums ir vērtējams individuāli, turklāt ir jāņem vērā, ka uzticamības atjaunošanas regulējums ir vienlīdz attiecināms arī uz ārvalstu kandidātiem un pretendentiem, kur varētu būt atšķirīgs tiesiskais regulējums, kas arī ir viens no aspektiem, kādēļ konkrēti iesniedzamie dokumenti nevar tikt definēti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par šī regulējuma piemērošanu Iepirkumu uzraudzības birojs izstrādās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skatīt izziņas 22.punktā norādīto, t.sk. to, ka Somija savā regulējumā arī nav detalizēti atrunājusi iesniedzamos dokumentus, kas var apliecināt piegādātāja uzticamību.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44.</w:t>
            </w:r>
            <w:r w:rsidR="00000000" w:rsidRPr="00000000" w:rsidDel="00000000">
              <w:rPr>
                <w:vertAlign w:val="superscript"/>
                <w:rtl w:val="0"/>
              </w:rPr>
              <w:t xml:space="preserve">1 </w:t>
            </w:r>
            <w:r w:rsidR="00000000" w:rsidRPr="00000000" w:rsidDel="00000000">
              <w:rPr>
                <w:rtl w:val="0"/>
              </w:rPr>
              <w:t xml:space="preserve">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ceturto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18.pants paredz papildināt likuma 57.pantu ar ceturto daļu, kurā lietots termins “piegādātājs”, savukārt minētā panta pirmajā daļā lietots termins “izraudzītais pretendents”. Lūdzam visā likumprojekta tekstā precizēt izmantoto terminoloģiju attiecībā uz izraudzīto pretendentu un ieinteresēto piegādātāju, lai nodrošinātu vienādu izpratni un pielietojamību.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18.pantā ietvertās likuma 57.panta pirmās daļas redakciju, ir secināms, ka minētā panta ceturtajā daļā nav nepieciešams ietvert vārdu “piegādātājam”.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ceturto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cita starpā direktīvas Nr. 2009/81/EK 21. panta 2., 3., un 4. punkts, 23. panta trešā daļa, 39. panta 1. punkta otrā daļa, 42. panta 1. punkta "j" apakšpunkta otrā daļa, 56. panta 10. punkts paredz dalībvalstīm rīcības brīvību. Attiecīgi lūdzam atbilstoši papildināt likumprojekta anotācijas 5.4. sadaļu, papildinot aili (sniedzot pamatojumu) par dalībvalsts rīcības brīvības izmantošanu, norādot konkrētās direktīvas normas, kas paredz rīcības brīvību, kādā veidā minētā rīcības brīvība ir izmantota likumprojektā, un to, kādēļ ir vai nav izmantota direktīvā Nr. 2009/81/EK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Nr.2009/81/EK 21.pantu norādām: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2.punkta kontekstā ar likumprojektu tiek mainīta tikai tā pieeja, ka pasūtītājam ir nevis tiesības, bet gan pienākums noteikt, lai kandidāts vai pretendents sniedz informāciju par visiem tā iepirkuma norisē piesaistītajiem (zināmajiem)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3.punkta kontekstā norādāms, ka ar šo likumprojektu minētais regulējums netiek skarts, līdz ar to nav nepieciešams šajā aspektā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4.punkta kontekstā norādāms, ka pēc likumprojekta precizējumiem tiek izslēgti iepriekš plānotie grozījumi ADJIL 23.panta piektajā daļā, līdz ar to nav nepieciešams šajā aspektā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Nr.2009/81/EK 23.panta trešo daļu norādām, ka ar šo likumprojektu minētais regulējums netiek skarts, līdz ar to nav nepieciešams šajā aspektā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Nr.2009/81/EK 39.panta 1.punkta otro daļu norādāms, ka minētais regulējums pats par sevi nav jāpārņem ADJIL, bet par šajā daļā ietverto rīcības brīvību norādāms, ka ar likumprojektu tiek saglabāta pieeja, ka tiek ietverti visi obligātie izslēgšanas iemesli, ievērojot Eiropas Savienības tiesību principus un Eiropas Savienības tiesas praksē nostiprinātās atziņas, kā arī vienlaikus nodrošinot vienotu pieeju attiecībā uz visu Latvijas publisko iepirkumu regulējuma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Nr.2009/81/EK 42. panta 1. punkta "j" apakšpunkta otro daļu norādām, ka šis likumprojekts minēto regulējumu neskar, kā arī atbilstoši ADJIL pamata redakcijas anotācijā norādītajam minētais regulējums </w:t>
            </w:r>
            <w:r w:rsidR="00000000" w:rsidRPr="00000000" w:rsidDel="00000000">
              <w:rPr>
                <w:i w:val="1"/>
                <w:rtl w:val="0"/>
              </w:rPr>
              <w:t xml:space="preserve">“[n]av jāpārņem, regulējums izriet no likuma "Par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Nr.2009/81/EK 56. panta 10. punktu norādām, ka ar šo likumprojektu netiek pēc būtības mainīts ADJIL jau ietvertais regulējums, tikai tehniski tiek precizēts jēdziens, ievērojot likumprojekta 1.pantā noteikto, kas papildina likuma 1.pantu ar 25.</w:t>
            </w:r>
            <w:r w:rsidR="00000000" w:rsidRPr="00000000" w:rsidDel="00000000">
              <w:rPr>
                <w:vertAlign w:val="superscript"/>
                <w:rtl w:val="0"/>
              </w:rPr>
              <w:t xml:space="preserve">1</w:t>
            </w:r>
            <w:r w:rsidR="00000000" w:rsidRPr="00000000" w:rsidDel="00000000">
              <w:rPr>
                <w:rtl w:val="0"/>
              </w:rPr>
              <w:t xml:space="preserve">punktu jeb “speciālās atļaujas” definīciju. Ievērojot minēto, ka likumprojekts neskar dalībvalsts rīcības brīvības izmantošanas aspektu, nav nepieciešams attiecīgi papildināt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4. sadaļā skaidrot attiecīgā likumprojekta 14. pantā izteiktā likuma 44. panta desmitajā daļā ietvertā pilnvarojuma būtību un nepieciešamību, proti, attiecībā uz izmaiņām likuma 44. panta trīspadsmitajā daļā ietvertajā pilnvarojumā, kā arī attiecībā uz likumprojekta 14. pantā izteiktā likuma 44. panta desmitās daļas 4. punktā minēto pilnvarojumu. Proti, lūdzam visupirms izvērtēt, vai attiecīgs pilnvarojums vispār ir vajadzīgs un vai nepieciešamo regulējumu nevar ietvert pašā likuma tekstā. Savukārt, ja tiek nolemts izstrādāt jaunus Ministru kabineta noteikumus (norādām, ja grozījumi nepieciešami likuma vienībā, kura satur pilnvarojumu izdot normatīvos aktus, jāņem vērā, izsakot jaunā redakcijā pilnvarojuma normu, būs nepieciešams izdot no jauna arī uz šī pilnvarojuma pamata izdodamo normatīvo aktu. Kā nosaka Oficiālo publikāciju un tiesiskās informācijas likuma 9. panta piektā daļa – ja spēku zaudē normatīvā akta izdošanas tiesiskais pamats (augstāka juridiska spēka tiesību norma, uz kuras pamata izdots cits normatīvais akts), tad spēku zaudē arī uz šā pamata izdotais normatīvais akts vai tā daļa), lūdzam likumprojekta anotācijas 4. sadaļā skaidrot pamatojumu šādai izvēlei, kā arī izvērstāk aprakstīt jauno Ministru kabineta noteikumu saturisko ietvaru, tādējadi nodrošinot, ka vēlāk, izstrādājot Ministru kabineta noteikumu projektu, nepieciešamās lietas ir iespējams iekļaut projektā, jo to paredz deleģējuma saturiskais tvērums, kā arī deleģējumu vēlāk ir iespējams izpildīt, jo regulējamo jautājumu loks nav formulēts pārāk plaši. Norādām, ka šobrīd anotācijas 4. sadaļā ietvertais skaidrojums ir vispārīgs un neaptver visas veiktās izmaiņas pilnvarojumā, tai skaitā minētais skaidrojums neatbilst likumprojekta saturam, jo likumprojekta 14. pants neparedz atsevišķu Ministru kabineta pilnvarojumu noteikt attiecīgo izslēgšanas noteikumu pārbaudes kārtību informācijas sistēmā, t.sk. pārbaudāmās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sākotnējās ietekmes novērtējuma ziņojuma (anotācijas) 4.1.2.sadaļa.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šo likumprojektu, kā arī citiem publisko iepirkumu jomu regulējošiem normatīvajiem likumiem (likums “Grozījumi Publisko iepirkumu likumā” (izsludināts 15.03.2022.), likums “Grozījumi Sabiedrisko pakalpojumu sniedzēju iepirkumu likumā” (izsludināts 17.05.2022.) un likums “Grozījumi Publiskās un privātās partnerības likumā” (izsludināts 17.05.2022.)) pēc būtības netiek mainīta līdzšinējā pieeja, ka Ministru kabineta noteikumi konkrēti  nosaka attiecīgo izslēgšanas noteikumu pārbaudes kārtību informācijas sistēmā, t.sk. pārbaudāmās informācijas apjomu. Papildus lūdzam skatīt arī šīs izziņas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ņemot vērā, ka ar šiem grozījumiem Ministru kabinetam dotais pilnvarojums vairs netiek ietverts ADJIL 44.panta trīspadsmitajā daļā, bet gan desmitajā daļā, ievērojot Oficiālo publikāciju un tiesiskās informācijas likuma 9.panta piektajā daļā noteikto (</w:t>
            </w:r>
            <w:r w:rsidR="00000000" w:rsidRPr="00000000" w:rsidDel="00000000">
              <w:rPr>
                <w:i w:val="1"/>
                <w:rtl w:val="0"/>
              </w:rPr>
              <w:t xml:space="preserve">Ja spēku zaudē normatīvā akta izdošanas tiesiskais pamats (augstāka juridiska spēka tiesību norma, uz kuras pamata izdots cits normatīvais akts</w:t>
            </w:r>
            <w:r w:rsidR="00000000" w:rsidRPr="00000000" w:rsidDel="00000000">
              <w:rPr>
                <w:rtl w:val="0"/>
              </w:rPr>
              <w:t xml:space="preserve">), </w:t>
            </w:r>
            <w:r w:rsidR="00000000" w:rsidRPr="00000000" w:rsidDel="00000000">
              <w:rPr>
                <w:i w:val="1"/>
                <w:rtl w:val="0"/>
              </w:rPr>
              <w:t xml:space="preserve">tad spēku zaudē arī uz šā pamata izdotais normatīvais akts vai tā daļa</w:t>
            </w:r>
            <w:r w:rsidR="00000000" w:rsidRPr="00000000" w:rsidDel="00000000">
              <w:rPr>
                <w:rtl w:val="0"/>
              </w:rPr>
              <w:t xml:space="preserve">), saistībā ar šo likumprojektu ir nepieciešams izdot jaunus Ministru kabineta noteikumus (līdzšinēji ietvertā regulējuma Ministru kabineta 2017.gada 28.februāra noteikumos Nr.108 “Publisko elektronisko iepirkumu noteikumi”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9.19. apakšpunktu lūdzam precizēt likumprojekta anotācijas 5.4. sadaļas 1. tabulā sniegto informāciju par direktīvas Nr. 2009/81/EK prasību pārņemšanu likumprojektā, kas šobrīd vairākos gadījumos nav precīza. Tai skaitā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direktīvas Nr. 2009/81/EK 21. panta 4. punkts (tāpat arī, piemēram, 56. panta 10. punkts) nav iedalīts daļās, kādēļ lūdzam precīzi atspoguļot, kurš 21. panta 4. punkta (arī 56. panta 10. punkta) teikums tiek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direktīvas 22. panta pirmā daļa varētu būt pārņemta arī ar likumprojekta 3. pantā ietverto likuma 10. panta 1.</w:t>
            </w:r>
            <w:r w:rsidR="00000000" w:rsidRPr="00000000" w:rsidDel="00000000">
              <w:rPr>
                <w:vertAlign w:val="superscript"/>
                <w:rtl w:val="0"/>
              </w:rPr>
              <w:t xml:space="preserve">1</w:t>
            </w:r>
            <w:r w:rsidR="00000000" w:rsidRPr="00000000" w:rsidDel="00000000">
              <w:rPr>
                <w:rtl w:val="0"/>
              </w:rPr>
              <w:t xml:space="preserve"> daļu, par ko 1. tabulā nav sniegts attiecīgs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informācija par direktīvas Nr. 2009/81/EK 39. panta vienību pārņemšanu nav skaidra un precīza,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minētā panta 1. punkts pretēji 1. tabulā minētajam nav iedalīts trīs vai četrās daļās (tas iedalīts divās daļās un otrā daļa sastāv no vairākiem 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kā ar likumprojekta 14. pantā izteikto likuma 44. panta otrās daļas 1. punktu tiek pārņemtas direktīvas Nr. 2009/81/EK 39. panta 2.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sniegta precīza informācija par direktīvas Nr. 2009/81/EK 39. panta otrās daļas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1. tabulā norādīts uz direktīvas Nr. 2009/81/EK 52. panta 4. punkta pārņemšanu likuma 58. panta sestās daļas 1. punktā, tomēr ar likumprojektu tiek grozīta likuma 58. panta sestās daļas ievaddaļa, kas neskar 58. panta sestās daļas 1. punktā ietverto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nav norādītas konkrētas Administratīvā procesa likuma vienības, cita starpā ar kurām tiek pārņemta direktīvas Nr. 2009/81/EK 56.panta 10. punktā ietvertās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likumprojekta anotācijas 5.4. sadaļas 1. tabulā norādīt arī uz likumprojekta (t.i., ne tikai likuma) vienībām, ar kurām tiek pārņemtas direktīvas Nr. 2009/81/EK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Nr.2009/81/EK 21.panta 4.punktu norādām, ka iebildums nav aktuāls, tā kā, precizējot likumprojektu, ir izslēgti plānotie grozījumi likuma 23.panta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Nr.2009/81/EK 56.panta 10.punktu norādām, ka šī likumprojekta anotācijas 5.3.sadaļas 1.tabulā normu atspoguļojums ir norādīts analoģiski kā ADJIL pamata redakcijas anotācijā, lai nodrošinātu un saglabātu izsekojamību, turklāt arī no direktīvas redakcijas ir secināms, ka šāds normas strukturālais iedalījums atbilst daļai (kā piemēru skatīt lūdzam, piemēram, Direktīvas 2009/81/EK 21.panta 4.punkta ceturtajā daļā norādīto, kur tieši ir ietverta atsauce uz minētā panta konkrētā punkta pirmo daļu, 24.panta 2.punkta otro daļu, kur ir ietverta atsauce uz šī punkta pirmo daļu). Norādītais attiecas arī uz Direktīvas Nr.2009/81/EK 39.panta 1.punktu strukturālā iedalījuma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Nr.2009/81/EK 22.panta pirmo daļu un 58.panta sestās daļas 1.punktu norādām, ka minētais iebildums nav aktuāls, ņemot vērā, ka ar grozījumiem likumprojektā minētās normas ir izslēgtas.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visi izslēgšanas iemesli ir noteikti likumprojektā ietvertajā 44.panta otrajā daļā, līdz ar to minētā daļa ietver Direktīvas Nr.2009/81/EK 39.panta 1. un 2.punktā noteiktos izslēgšanas iemeslus, savukārt konkrēti kā šis regulējums ir pārņemts normās, ir norādīts anotācijas 5.4.sadaļas 1.tabulā (precizējot informāciju saistībā ar Direktīvas Nr.2009/81/EK 1. un 2.punkta otrajām daļām, tā kā šīs normas nav jāpārņem likumā). Papildus norādām, ka likumprojektā ietvertā 44.panta otrās daļas 1.punkta ievadteksts un trešā daļa (jeb regulējums, kas nosaka subjektus, uz kuriem attiecas izslēgšanas iemesli) ir noteikti, ievērojot Direktīvas 39.panta 1.punkta pirmās daļas ievadtekstā, otrajā daļā un ceturtās daļas 3.teikumā noteikto, kā arī 2.punkta ievadtekstā un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Nr.2009/81/EK 56. panta 10. punktu norādām, ka ar šo likumprojektu netiek pēc būtības mainīts ADJIL jau ietvertais regulējums, tikai tehniski tiek precizēts jēdziens, ievērojot likumprojekta 1.pantā noteikto, kas papildina likuma 1.pantu ar 25.</w:t>
            </w:r>
            <w:r w:rsidR="00000000" w:rsidRPr="00000000" w:rsidDel="00000000">
              <w:rPr>
                <w:vertAlign w:val="superscript"/>
                <w:rtl w:val="0"/>
              </w:rPr>
              <w:t xml:space="preserve">1</w:t>
            </w:r>
            <w:r w:rsidR="00000000" w:rsidRPr="00000000" w:rsidDel="00000000">
              <w:rPr>
                <w:rtl w:val="0"/>
              </w:rPr>
              <w:t xml:space="preserve">punktu jeb “speciālās atļaujas” definīciju. Līdz ar to un ievērojot konkrētā grozījuma niansi un saņemto iebildumu, tiek precizēta anotācijas 5.4.sadaļas 1.tabula, šajā gadījumā paredzot tikai Direktīvas 56.panta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 anotācijas 5.4.sadaļas 1.tabulas pārskatāmības un uztveramības viedokļa labāks risinājums tomēr ir saglabāt esošo pieeju, proti, norādot atsauces uz likuma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9.1.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pārskatīt likumprojekta anotāciju un sniegt pamatotu skaidrojumu par visu likumprojektā paredzēto būtisko izmaiņu likumā būtību, nepieciešamību un mērķi. Norādām, ka attiecīgs skaidrojums nav sniegts, piemēram, bet ne tikai, par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21. panta pirmajā daļā, ceturtās daļas 3. un 4. punktā, precizējot aizsargājamās informācijas apstrādes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23. panta astotajā daļā, izslēdzot norādi par to, ka paziņojumā par līgumu (t.i., ne tikai iepirkuma procedūras dokumentos) var paredzēt sev tiesības noraidīt iepirkuma procedūrā izraudzītā pretendenta saskaņā ar šā likuma 60.panta noteikumiem izvēlētos apakšuzņēmējus, pamatojoties uz tām pašām prasībām, ko pasūtītājs paziņojumā par līgumu vai iepirkuma procedūras dokumentos noteicis piegādātājiem. Saistībā ar minēto norādām, ka attiecīgas informācijas ietveršana paziņojumā par līguma izriet no direktīvas Nr. 2009/81/EK 21. panta 6.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29. panta trešajā daļā, izslēdzot regulējumu par brīdi, kurā parakstāms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44. panta otrajā daļā, izslēdzot pasūtītāja tiesības noteiktos gadījumos, izvērtējot iespējamos ekonomiskos riskus un ņemot vērā līguma priekšmetu, lemt par attiecīgā kandidāta vai pretendenta neizslēgšanu no iepirkuma procedūras saskaņā ar šā panta pirmās daļas 6. punktu [ir pasludināts kandidāta vai pretendenta maksātnespējas process, apturēta kandidāta vai pretendenta saimnieciskā darbība, kandidāts vai pretendents 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57. panta otrās daļas 3. punktā, neparedzot, ka tiek ievēroti šā likuma 44. panta pārējo daļu (kas paredz cita starpā izņēmumus no izslēgšanas) noteikumi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sasaistīt konkrētas likumprojekta vienības ar attiecīgo skaidrojumu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nodrošināt, ka likumprojekta anotācijā visos gadījumos tiek sniegts pamatojums konkrēti likumprojektā paredzētajam risinājumam attiecīgajam problēmjautājumam. Piemēram, šobrīd attiecīgs skaidrojums nav atrodams par to, uz kuriem likumā 44. pantā minētajiem izslēgšanas gadījumiem nav attiecināms likumprojekta 15. pantā izteiktais likuma 44.1 panta regulējums par uzticamības nodrošināšanu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6.pantā ietvertajiem likuma 21.panta pirmās daļas, ceturtās daļas 3. un 4.punkta grozījumiem norādām, ka atbilstoši Satversmes aizsardzības biroja viedoklim nepieciešamais skaidrojums jau ir iekļauts anotācijas 1.3.sadaļas 3.problēmas aprakstā “Nepieciešams pilnveidot regulējumu saistībā ar informācijas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8.pantā ietvertajiem likuma 23.panta astotās daļas grozījumiem norādām, ka minētais iebildums nav vairs aktuāls, jo precizējot likumprojekta redakciju, šādā aspektā minētā norma vairs netiek grozīta.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10.pantā ietvertajiem likuma 29.panta trešās daļas grozījumiem lūdzam skatīt izziņas 10.punktu, kā arī papildinājumu sākotnējās ietekmes novērtējuma ziņojuma (anotācijas) 1.3.sadaļas 2.problēmas risinājuma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spēkā esošā ADJIL 44.panta otrās daļas regulējumu norādāms, ka pēc būtības to šobrīd regulē likumprojekta 15.pantā ietvertais likuma 44.</w:t>
            </w:r>
            <w:r w:rsidR="00000000" w:rsidRPr="00000000" w:rsidDel="00000000">
              <w:rPr>
                <w:vertAlign w:val="superscript"/>
                <w:rtl w:val="0"/>
              </w:rPr>
              <w:t xml:space="preserve">1</w:t>
            </w:r>
            <w:r w:rsidR="00000000" w:rsidRPr="00000000" w:rsidDel="00000000">
              <w:rPr>
                <w:rtl w:val="0"/>
              </w:rPr>
              <w:t xml:space="preserve">panta regulējums par uzticamības nodrošināšanu (vienmēr, kad tiek piemērots uzticamības regulējums, pasūtītājs vērtē pierādījumu kopumu attiecībā pret konstatētajiem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18.pantā ietvertā likuma 57.panta otrās daļas 3.punkta grozījumiem norādāms, ka pēc būtības šis regulējums tiek noteikts vienādi visos publisko iepirkumu regulējošos likumos (likums “Grozījumi Publisko iepirkumu likumā” (izsludināts 15.03.2022.), likums “Grozījumi Sabiedrisko pakalpojumu sniedzēju iepirkumu likumā” (izsludināts 17.05.2022.) un likums “Grozījumi Publiskās un privātās partnerības likumā” (izsludināts 17.05.2022.)), turklāt, vērtējot grozījumus sistēmiski, ir konstatējams, ka ar likumprojektu 57.pants tiek papildināts ar jaunu ceturto daļu, kas citstarp nosaka, ka, pārbaudot jaunā apakšuzņēmēja atbilstību, </w:t>
            </w:r>
            <w:r w:rsidR="00000000" w:rsidRPr="00000000" w:rsidDel="00000000">
              <w:rPr>
                <w:u w:val="single"/>
                <w:rtl w:val="0"/>
              </w:rPr>
              <w:t xml:space="preserve">pasūtītājs piemēro šā likuma 44.panta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nepieciešams sasaistīt konkrētas likumprojekta vienības ar attiecīgo skaidrojumu likumprojekta anotācijā – uzskatām, ka anotācijas 1.3.sadaļā ietverto problēmu aprakstu nosaukumi jau to pēc būtības atspoguļo un likumprojektā ietvertais regulējums ir vērtējams kompleksi, jo nereti viena un tā pati norma var tikt grozīta no dažādiem aspektiem, proti, lai novērstu dažādas konstatētās problēmas. Tomēr vienlaikus piekrītam papildināt minētos problēmu aprakstu nosaukumus, ietverot papildus iekavās atsauces uz konkrētām likumprojekta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nepieciešams nodrošināt, lai likumprojekta anotācijā visos gadījumos tiek sniegts pamatojums konkrēti likumprojektā paredzētajam risinājumam attiecīgajam problēmjautājumam, - uzskatām, ka šāds pamatojums ir par visiem konceptuālajiem aspektiem sniegts saprātīgā apjomā, jo anotācijai nav arī jākļūst par detalizētiem skaidrojumiem. Vēršam uzmanību, ka viens no šī likumprojekta pamatjautājumiem ir kandidātu un pretendentu izslēgšanas noteikumu grozījumi, kas ietver arī uzticamības atjaunošanu, par kuriem kopumā Iepirkumu uzraudzības birojs ir paredzējis sagatavot detalizētu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tieši iebildumā minētais piemērs ir tieši ietverts likumprojekta anotācijā (skatīt arī izziņas 23.punktu).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ietvertās informācijas nepārprotamam un vispusīgam atspoguļojumam lūdzam gadījumos, ja noteikts tiesiskais regulējums no likuma tiek ar likumprojektu izslēgts vai precizēts, lai nedublētu citu normatīvo tiesību aktu normas (sk. likuma 36. panta trešo daļu un 45. panta pirmo daļu), anotācijā atspoguļot attiecīgo normatīvo aktu normas, kuras likums šobrīd dublē, kā arī nepieciešamības gadījumā, ja ar likuma normām, kuras tiek izslēgtas no likuma, tikušas pārņemtas ES tiesību aktu prasības, atbilstoši papildināt likumprojekta anotācijas 5. sadaļu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Nr.2009/81/EK 32.panta 4.punkta pirmajā daļā ir norādīts, ka </w:t>
            </w:r>
            <w:r w:rsidR="00000000" w:rsidRPr="00000000" w:rsidDel="00000000">
              <w:rPr>
                <w:i w:val="1"/>
                <w:rtl w:val="0"/>
              </w:rPr>
              <w:t xml:space="preserve">[p]ilnu līguma paziņojuma tekstu publicē līgumslēdzēja iestāde/subjekts izvēlētajā Kopienas oficiālajā valodā, un </w:t>
            </w:r>
            <w:r w:rsidR="00000000" w:rsidRPr="00000000" w:rsidDel="00000000">
              <w:rPr>
                <w:i w:val="1"/>
                <w:u w:val="single"/>
                <w:rtl w:val="0"/>
              </w:rPr>
              <w:t xml:space="preserve">šajā oriģinālvalodā sagatavotais teksts ir vienīgais autentiskais teksts. </w:t>
            </w:r>
            <w:r w:rsidR="00000000" w:rsidRPr="00000000" w:rsidDel="00000000">
              <w:rPr>
                <w:i w:val="1"/>
                <w:rtl w:val="0"/>
              </w:rPr>
              <w:t xml:space="preserve">Paziņojuma galveno elementu </w:t>
            </w:r>
            <w:r w:rsidR="00000000" w:rsidRPr="00000000" w:rsidDel="00000000">
              <w:rPr>
                <w:i w:val="1"/>
                <w:u w:val="single"/>
                <w:rtl w:val="0"/>
              </w:rPr>
              <w:t xml:space="preserve">kopsavilkumu publicē citās oficiālajās valodās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valodas likuma 3.panta pirmo daļu </w:t>
            </w:r>
            <w:r w:rsidR="00000000" w:rsidRPr="00000000" w:rsidDel="00000000">
              <w:rPr>
                <w:i w:val="1"/>
                <w:rtl w:val="0"/>
              </w:rPr>
              <w:t xml:space="preserve">Latvijas Republikā valsts valoda ir latviešu valoda</w:t>
            </w:r>
            <w:r w:rsidR="00000000" w:rsidRPr="00000000" w:rsidDel="00000000">
              <w:rPr>
                <w:rtl w:val="0"/>
              </w:rPr>
              <w:t xml:space="preserve">. Latviešu valoda ir arī Eiropas Savienības oficiālā valoda (</w:t>
            </w:r>
            <w:r w:rsidR="00000000" w:rsidRPr="00000000" w:rsidDel="00000000">
              <w:rPr>
                <w:i w:val="1"/>
                <w:rtl w:val="0"/>
              </w:rPr>
              <w:t xml:space="preserve">https://european-union.europa.eu/principles-countries-history/country-profiles/latvia_lv</w:t>
            </w:r>
            <w:r w:rsidR="00000000" w:rsidRPr="00000000" w:rsidDel="00000000">
              <w:rPr>
                <w:rtl w:val="0"/>
              </w:rPr>
              <w:t xml:space="preserve">). Tāpat Valsts valodas likuma 8.panta pirmā daļa nosaka, ka </w:t>
            </w:r>
            <w:r w:rsidR="00000000" w:rsidRPr="00000000" w:rsidDel="00000000">
              <w:rPr>
                <w:i w:val="1"/>
                <w:rtl w:val="0"/>
              </w:rPr>
              <w:t xml:space="preserve"> [v]alsts un pašvaldību iestādēs, tiesās un tiesu sistēmai piederīgās iestādēs, valsts un pašvaldību uzņēmumos, kā arī uzņēmējsabiedrībās, kurās lielākā kapitāla daļa pieder valstij vai pašvaldībai, </w:t>
            </w:r>
            <w:r w:rsidR="00000000" w:rsidRPr="00000000" w:rsidDel="00000000">
              <w:rPr>
                <w:i w:val="1"/>
                <w:u w:val="single"/>
                <w:rtl w:val="0"/>
              </w:rPr>
              <w:t xml:space="preserve">lietvedībā un dokumentos lietojama valsts valoda</w:t>
            </w:r>
            <w:r w:rsidR="00000000" w:rsidRPr="00000000" w:rsidDel="00000000">
              <w:rPr>
                <w:i w:val="1"/>
                <w:rtl w:val="0"/>
              </w:rPr>
              <w:t xml:space="preserve">; sarakste un cita veida saziņa ar ārvalstīm var notikt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atbilstoši ADJIL 1.panta 7.</w:t>
            </w:r>
            <w:r w:rsidR="00000000" w:rsidRPr="00000000" w:rsidDel="00000000">
              <w:rPr>
                <w:vertAlign w:val="superscript"/>
                <w:rtl w:val="0"/>
              </w:rPr>
              <w:t xml:space="preserve">1</w:t>
            </w:r>
            <w:r w:rsidR="00000000" w:rsidRPr="00000000" w:rsidDel="00000000">
              <w:rPr>
                <w:rtl w:val="0"/>
              </w:rPr>
              <w:t xml:space="preserve">punktam noteiktajam iepirkumu paziņojumi ir vērtējami kā iepirkuma dokumenti (pasūtītājam tikai vienreiz ir jāaizpilda konkrētais paziņojums un tas tiek publicēts gan Iepirkumu uzraudzības biroja tīmekļvietnē, gan arī Eiropas Savienības Oficiālajā Vēstnesī un šis paziņojums ir vērtējams kopsakarā ar citiem iepirkuma dokumentiem, nevis kā sarakste vai saziņa ar ārvalstīm), ar likumprojektu tiek izslēgta ADJIL 36.panta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ADJIL 45.panta pirmo daļu norādāms, ka šis regulējums pēc būtības ir attiecināms tikai uz izslēgšanas nosacījumiem, turklāt tas nepārņem Direktīvas Nr.2009/81/EK normas (ADJIL pamata redakcijā savulaik bija tieši arī norādīts - </w:t>
            </w:r>
            <w:r w:rsidR="00000000" w:rsidRPr="00000000" w:rsidDel="00000000">
              <w:rPr>
                <w:i w:val="1"/>
                <w:rtl w:val="0"/>
              </w:rPr>
              <w:t xml:space="preserve">Izziņas un citus dokumentus, kurus šā likuma 44.pantā noteiktajos gadījumos izsniedz kompetentās institūcijas, pasūtītājs pieņem un atzīst, ja tie izdoti ne agrāk kā trīs mēnešus pirms iesniegšanas dienas</w:t>
            </w:r>
            <w:r w:rsidR="00000000" w:rsidRPr="00000000" w:rsidDel="00000000">
              <w:rPr>
                <w:rtl w:val="0"/>
              </w:rPr>
              <w:t xml:space="preserve">). Laika gaitā ir attīstījušies tehniskie risinājumi un informācija par Latvijas institūciju lēmumiem/datiem ir iegūstama, izmantojot attiecīgās datu bāzes/sistēmas, savukārt, ja šajos datos ir konstatējama neatbilstība, tad kandidāts vai pretendents jebkurā gadījumā sniegs aktuālo informāciju, kas attiecas uz konkrēto jautājumu. Attiecībā uz ārvalstu piegādātājiem šādu regulējumu ir nepieciešams saglabāt, jo praksē ārvalstu institūcijas izziņām un citiem dokumentiem bieži piešķir garāku derīguma termiņu par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Aizsardzības un drošības jomas iepirkumu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mana viedokļa saskaņojums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Aizsardzības un drošības jomas iepirkumu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likumprojektā (t.sk. 3. pantā) lietot konsekventu terminoloģiju un norādīt uz iepirkuma dokumentiem (kura skaidrojums atrunāts likumprojektā), nevis iepirkuma dokumentāciju.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izziņas 2.punktā norādīto, ir precizēts likumprojekta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tiek precizēta likumprojekta 4.pantā ietvertā likuma 12.panta otrās daļas 6.</w:t>
            </w:r>
            <w:r w:rsidR="00000000" w:rsidRPr="00000000" w:rsidDel="00000000">
              <w:rPr>
                <w:vertAlign w:val="superscript"/>
                <w:rtl w:val="0"/>
              </w:rPr>
              <w:t xml:space="preserve">1</w:t>
            </w:r>
            <w:r w:rsidR="00000000" w:rsidRPr="00000000" w:rsidDel="00000000">
              <w:rPr>
                <w:rtl w:val="0"/>
              </w:rPr>
              <w:t xml:space="preserve">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ADJIL 28.pantu papildināt ar ceturto daļu, nosakot, ka pasūtītājs ne retāk kā reizi 12 mēnešos pārvērtē uz noteiktu laikposmu, kas pārsniedz 12 mēnešus, izveidotu iepirkuma komisiju kompetences atbilstības jautājumus un potenciālus interešu konflikta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Pasūtītājs ne retāk kā reizi 12 mēnešos pārvērtē uz noteiktu laikposmu, kas pārsniedz 12 mēnešus, izveidotu iepirkuma komisiju kompetences atbilstības jautājumus un potenciālus interešu konflikta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noteiktās problēmas Nr.2 risinājuma aprakstā norādīts, ka "[..] Ievērojot, ka teorētiski pastāv iespēja iepirkuma komisiju izveidot uz noteiktu laikposmu, kas pārsniedz pat vairākus gadus, institūciju iekšējās pretkorupcijas kontroles sistēmas ietvaros ir nepieciešams paredzēt, ka pasūtītājs ne retāk kā reizi 12 mēnešos pārvērtē uz noteiktu laikposmu, kas pārsniedz 12 mēnešus, izveidotu iepirkuma komisiju kompetences atbilstības jautājumus un potenciālus interešu konflikta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ārējā normatīvajā aktā nav noteikts pienākums institūciju iekšējās pretkorupcijas kontroles sistēmas ietvaros paredzēt iepirkuma komisijas, kas izveidota uz noteiktu laikposmu, pārvērtēšanu ne retāk kā reizi 12 mēnešos, pastāv risks, ka attiecīgā anotācijā ietvertā rekomendācija netiks ievērota. Līdz ar to netiktu sasniegts arī anotācijā noteiktais mērķis - nodrošināt, ka pasūtītāja vadošās amatpersonas biežāk kā līdz šim pārvērtē, vai iepirkuma komisija ir kompetenta attiecīgā iepirkuma veikšanai un vai nav saskatāmi acīmredzami interešu konflikta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anotācijā noteikto rekomendāciju iestrādāt ADJIL kā pienākumu - ADJIL 28.pantu papildināt ar ceturto daļu, nosakot, ka pasūtītājs ne retāk kā reizi 12 mēnešos pārvērtē uz noteiktu laikposmu, kas pārsniedz 12 mēnešus, izveidotu iepirkuma komisiju kompetences atbilstības jautājumus un potenciālus interešu konflikta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Pasūtītājs ne retāk kā reizi 12 mēnešos pārvērtē uz noteiktu laikposmu, kas pārsniedz 12 mēnešus, izveidotu iepirkuma komisiju kompetences atbilstības jautājumus un potenciālus interešu konflikta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jautājumu skaidrojums jau ir ietverts izziņas 7.punktā.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1.3.punktā minētās problēmas Nr.2 risinājuma aprakstā norādīts, ka "[..] Ievērojot, ka teorētiski pastāv iespēja iepirkuma komisiju izveidot uz noteiktu laikposmu, kas pārsniedz pat vairākus gadus, institūciju iekšējās pretkorupcijas kontroles sistēmas ietvaros ir nepieciešams paredzēt, ka pasūtītājs ne retāk kā reizi 12 mēnešos pārvērtē uz noteiktu laikposmu, kas pārsniedz 12 mēnešus, izveidotu iepirkuma komisiju kompetences atbilstības jautājumus un potenciālus interešu konflikta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to, ka ārējā normatīvajā aktā nav noteikts pienākums institūciju iekšējās pretkorupcijas kontroles sistēmas ietvaros paredzēt iepirkuma komisijas, kas izveidota uz noteiktu laikposmu, pārvērtēšana, pastāv risks, ka anotācijā ietvertais pienākums netiks ievērots. Tādējādi daļēji tiks sasniegts anotācijā noteiktais mērķis - nodrošināt, ka pasūtītāja vadošās amatpersonas biežāk kā līdz šim pārvērtē, vai iepirkuma komisija ir kompetenta attiecīgā iepirkuma veikšanai un vai nav saskatāmi acīmredzami interešu konflikta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aicinām papildināt Aizsardzības un drošības jomas iepirkumu likuma 28.pantu, ietverot pienākumu pasūtītājam ne retāk kā reizi 12 mēnešos pārvērtēt uz noteiktu laikposmu, kas pārsniedz 12 mēnešus, izveidotas iepirkuma komisijas kompetences atbilstību un tās iespējamos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Aizsardzības un drošības jomas iepirkumu likuma 28.pantu ar ceturto daļu, nosakot, ka pasūtītājs ne retāk kā reizi 12 mēnešos pārvērtē uz noteiktu laikposmu, kas pārsniedz 12 mēnešus, izveidotu iepirkuma komisiju kompetences atbilstību un tās iespējamos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jautājumu skaidrojums jau ir ietverts izziņas 7.punktā.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38. 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ADJIL 38.panta otrā daļa tostarp paredz pasūtītājam pienākumu ieinteresētajiem piegādātājiem izsūtīt vai izsniegt dokumentus, ja vien dokumentu pieprasījums saņemts laikus pirms pieteikumu vai piedāvājumu iesniegšanas termiņa. Tomēr ADJIL nedefinē termiņu laikus saņemtam dokumentu pieprasījumam, tādējādi pieļaujot pasūtītāju atšķirīgu interpretāciju. Lai no tā izvairītos, aicinām izvērtēt un atrunāt vēlāko termiņu (dienu), kādā ieinteresētajiem piegādātājiem pieļaujams veikt dokumentu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38.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pasūtītājs nenodrošina brīvu un tiešu elektronisku pieeju iepirkuma procedūras dokumentiem un visiem papildus nepieciešamajiem dokumentiem, pasūtītājs tos izsūta vai izsniedz ieinteresētajiem piegādātājiem sešu dienu laikā pēc tam, kad saņemts šo dokumentu pieprasījums, ievērojot nosacījumu, ka dokumentu pieprasījums saņemts laikus pirms pieteikumu vai piedāvājumu iesniegšanas termiņa, bet ne vēlāk kā septiņas dienas pirms pieteikumu vai piedāvājumu iesniegšanas termiņa beigām. Vienlaikus ieinteresētajiem piegādātājiem tiek nodrošināta iespēja iepazīties ar iepirkuma procedūras dokumentiem pie pasūtītāja, sākot no attiecīgās iepirkuma procedūras izsludināšanas brīža. Ja iepirkuma procedūras dokumenti satur ierobežotas pieejamības vai aizsargājamu informāciju, tiek ievēroti šā likuma 10. un 21. panta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11.punktu.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38. panta otro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38. 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ADJIL 38.panta otrā daļa tostarp paredz pasūtītājam pienākumu ieinteresētajiem piegādātājiem izsūtīt vai izsniegt dokumentus, ja vien dokumentu pieprasījums saņemts laikus pirms pieteikumu vai piedāvājumu iesniegšanas termiņa. Tomēr ADJIL nedefinē termiņu laikus saņemtam dokumentu pieprasījumam, tādējādi pieļaujot pasūtītāju atšķirīgu interpretāciju. Lai no tā izvairītos, aicinām izvērtēt un atrunāt vēlāko termiņu (dienu), kādā ieinteresētajiem piegādātājiem pieļaujams veikt dokumentu pieprasījumu, piemēram, ne vēlāk kā septiņas dienas pirms pieteikumu vai piedāvājumu iesniegšanas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38.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pasūtītājs nenodrošina brīvu un tiešu elektronisku pieeju iepirkuma procedūras dokumentiem un visiem papildus nepieciešamajiem dokumentiem, pasūtītājs tos izsūta vai izsniedz ieinteresētajiem piegādātājiem sešu dienu laikā pēc tam, kad saņemts šo dokumentu pieprasījums, ievērojot nosacījumu, ka dokumentu pieprasījums saņemts laikus pirms pieteikumu vai piedāvājumu iesniegšanas termiņa, bet ne vēlāk kā septiņas dienas pirms pieteikumu vai piedāvājumu iesniegšanas termiņa beigām. Vienlaikus ieinteresētajiem piegādātājiem tiek nodrošināta iespēja iepazīties ar iepirkuma procedūras dokumentiem pie pasūtītāja, sākot no attiecīgās iepirkuma procedūras izsludināšanas brīža. Ja iepirkuma procedūras dokumenti satur ierobežotas pieejamības vai aizsargājamu informāciju, tiek ievēroti šā likuma 10. un 21. panta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jautājumu skaidrojums jau ir ietverts izziņas 11.punktā.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38. panta otro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14.pantā paredzētā 44.panta otrās daļas 1.punkta c) apakšpunktu, ņemot vērā Krimināllikuma 79.</w:t>
            </w:r>
            <w:r w:rsidR="00000000" w:rsidRPr="00000000" w:rsidDel="00000000">
              <w:rPr>
                <w:vertAlign w:val="superscript"/>
                <w:rtl w:val="0"/>
              </w:rPr>
              <w:t xml:space="preserve">3 </w:t>
            </w:r>
            <w:r w:rsidR="00000000" w:rsidRPr="00000000" w:rsidDel="00000000">
              <w:rPr>
                <w:rtl w:val="0"/>
              </w:rPr>
              <w:t xml:space="preserve">un 79.</w:t>
            </w:r>
            <w:r w:rsidR="00000000" w:rsidRPr="00000000" w:rsidDel="00000000">
              <w:rPr>
                <w:vertAlign w:val="superscript"/>
                <w:rtl w:val="0"/>
              </w:rPr>
              <w:t xml:space="preserve">4 </w:t>
            </w:r>
            <w:r w:rsidR="00000000" w:rsidRPr="00000000" w:rsidDel="00000000">
              <w:rPr>
                <w:rtl w:val="0"/>
              </w:rPr>
              <w:t xml:space="preserve">pantā lietoto terminoloģiju. Vēršam uzmanību, ka minētie panti neparedz atbildību konkrēti par teroristu grupas</w:t>
            </w:r>
            <w:r w:rsidR="00000000" w:rsidRPr="00000000" w:rsidDel="00000000">
              <w:rPr>
                <w:u w:val="single"/>
                <w:rtl w:val="0"/>
              </w:rPr>
              <w:t xml:space="preserve"> izveidi</w:t>
            </w:r>
            <w:r w:rsidR="00000000" w:rsidRPr="00000000" w:rsidDel="00000000">
              <w:rPr>
                <w:rtl w:val="0"/>
              </w:rPr>
              <w:t xml:space="preserve">, kā  arī personas vervēšanu vai apmācīšanu </w:t>
            </w:r>
            <w:r w:rsidR="00000000" w:rsidRPr="00000000" w:rsidDel="00000000">
              <w:rPr>
                <w:u w:val="single"/>
                <w:rtl w:val="0"/>
              </w:rPr>
              <w:t xml:space="preserve">terora aktu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14.punktu.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14.pantā paredzētā 44.panta otrās daļas 2.punkts paredz, ka viens no kandidātu un pretendentu izslēgšanas iemesliem ir  - ja pasūtītājs ir saņēmis valsts drošības iestādes atzinumu, ka kandidāts vai pretendents ir saistīts ar organizēto noziedzību vai kriminālsodāmām darbībām. Vēršam uzmanību, ka nav saprotams termina “saistīts ar kriminālsodāmām darbībām” tvērums. Līdz ar to aicinām precizēt projekta sākotnējās ietekmes novērtējuma ziņojumu (anotāciju), skaidrojot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šīs izziņas 15.punktu.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jauns izslēgšanas iemesls – nodokļu parāds, profesionālās darbības pārkāpums (Likumprojekta 44.pants). Praksē ir apgrūtināti uzzināt un saņemt no pretendenta citā valstī reģistrēta uzņēmēja izziņas par nodokļu parāda neesamību vai informāciju par profesionālās darbības pārkāpumu. Līdz ar to ir jāparedz iespēja izlīdzēties ar pašapliecinājuma izziņām, par cik šāds izslēgšanas nosacījums kļūs par obligātu. Pasūtītājam ir ierobežotas iespējas pārliecināties ar ārvalstīs (piemēram, ASV izsniegto izziņu, tāpat arī ierobežota iespēja iepazīties ar uzņēmuma reģistrācijas valsts normatīvo aktu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attiecībā uz neizpildītām saistībām nodokļu jomā pārbaudes kārtība pēc būtības nav mainīta, proti, tāpat kā līdz šim ārvalstī reģistrētai vai pastāvīgi dzīvojošai personai pēc pasūtītāja pieprasījuma ir jāiesniedz attiecīgās ārvalsts kompetentās iestādes 1) izziņa vai 2) skaidrojums, savukārt, ja šādi dokumenti ārvalstī netiek izsniegti vai ar tiem nepietiek, lai apliecinātu atbilstību, ir iesniedzams konkrētās personas 3) zvērests, vai, ja arī zvēresta došanu attiecīgās valsts normatīvie akti neparedz, ir iesniedzams tāds 4) apliecinājums, kas ir veikts pie kompetentās izpildvaras vai tiesu varas iestādes, zvērināta notāra vai kompetentās attiecīgās nozares organizācijas to reģistrācijas vai pastāvīgās dzīvesvietas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tas anotācijā ir norādīts, ar šo likumprojektu tiek paredzēts jauns instruments – pašdeklarācija, bet tas tiek attiecināts tikai uz diviem izslēgšanas iemesliem (par pārkāpumiem nodarbinātības un konkurences tiesību jomā) un turklāt tikai gadījumā, ja nevienu no pirmajiem trim iepriekš minētajiem risinājumiem neparedz attiecīgās valsts normatīvie akti vai to saturs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iepriekš nepildītiem līgumiem atbilstoši likumprojektā ietvertā likuma 44.panta septītās daļas regulējumam pasūtītājs šādu informāciju iegūst patstāvīgi un tikai situācijā, ja ir nepieciešams pierādīt uzticamību, kandidātam vai pretendentam ir nepieciešams iesniegt papildu informāciju, kuras saturs/būtība būs atkarīga no konkrētajiem lietas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pasūtītājam nav pieejams vai saprotams konkrētās ārvalsts tiesiskais regulējums, t.sk. vai iesniegtie dokumenti atbilst šim regulējumam, pasūtītājs vienmēr var vērsties konkrētās ārvalsts diplomātiskajā un konsulārajā pārstāvniecībā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 grozījumu mērķis ir arī nodrošināt, lai visos publisko iepirkumu regulējumos tiek noteikta vienota pieeja attiecībā uz izslēgšanas iemeslu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vēl viens izslēgšanas nosacījums attiecībā uz nepatiesas informācijas sniegšanu pasūtītāja iepirkumu komisijai (Likumprojekta 44.pants). Praksē būs grūti nošķirt maldinošu no nepatiesas informācijas un šī jēdziena piemērošanas saturu, ģenerālklauzulu publiskajā iepirkumā.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pārdomāt, definēt jēdzienu "maldinošu" un "nepatiesas"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14.pantā ietvertais likuma 44.panta otrās daļas 8.punkts pēc būtības paredz identisku izslēgšanas iemeslu, kāds tas šobrīd ir jau noteikts ADJIL 44.panta pirmās daļas 8.punktā, proti, - </w:t>
            </w:r>
            <w:r w:rsidR="00000000" w:rsidRPr="00000000" w:rsidDel="00000000">
              <w:rPr>
                <w:i w:val="1"/>
                <w:rtl w:val="0"/>
              </w:rPr>
              <w:t xml:space="preserve">kandidāts vai pretendents ir sniedzis nepatiesu informāciju, lai apliecinātu atbilstību šā panta noteikumiem vai saskaņā ar šo likumu noteiktajām kandidātu un pretendentu kvalifikācijas prasībām, vai nav sniedzis 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šis likumprojekts neietver jēdzienu “maldinošs”, tomēr, ievērojot arī Latvijas Nacionālajā terminoloģijas portālā </w:t>
            </w:r>
            <w:r w:rsidR="00000000" w:rsidRPr="00000000" w:rsidDel="00000000">
              <w:rPr>
                <w:i w:val="1"/>
                <w:rtl w:val="0"/>
              </w:rPr>
              <w:t xml:space="preserve">termini.gov.lv</w:t>
            </w:r>
            <w:r w:rsidR="00000000" w:rsidRPr="00000000" w:rsidDel="00000000">
              <w:rPr>
                <w:rtl w:val="0"/>
              </w:rPr>
              <w:t xml:space="preserve"> norādīto, ir secināms, ka šis jēdziens ir saistāms ar apzināti nepatiesas informācijas sniegšanu (kā sinonīmi tiek norādīt tādi jēdzieni kā “mānīt”, “krāpt”, “maldināt”, “dezorientēt” un “dezinformēt”). Arī nepatiesa informācija ir vērtējama kā tāda, kas neatbilst īstenībai, patiesībai.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aspektā ir vērā ņemams arī  Senāta 2016.gada 30.novembra rīcības sēdes lēmuma lietā Nr. SKA-567/2016 (A420213315) norādītais, ka </w:t>
            </w:r>
            <w:r w:rsidR="00000000" w:rsidRPr="00000000" w:rsidDel="00000000">
              <w:rPr>
                <w:i w:val="1"/>
                <w:rtl w:val="0"/>
              </w:rPr>
              <w:t xml:space="preserve">“konstatējot, ka pretendenta sniegtā informācija attiecībā uz iepriekšējo pieredzi ir nepatiesa, šo faktu nevar izmainīt, izskaidrojot vai papildinot iesniegtajos dokumentos jau norādītās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 Ievērojot, ka teorētiski pastāv iespēja iepirkuma komisiju izveidot uz noteiktu laikposmu, kas pārsniedz pat vairākus gadus, institūciju iekšējās pretkorupcijas kontroles sistēmas ietvaros ir nepieciešams paredzēt, ka pasūtītājs ne retāk kā reizi 12 mēnešos pārvērtē uz noteiktu laikposmu, kas pārsniedz 12 mēnešus, izveidotu iepirkuma komisiju kompetences atbilstības jautājumus un potenciālus interešu konflikta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ārējā normatīvajā aktā nav noteikts pienākums institūciju iekšējās pretkorupcijas kontroles sistēmas ietvaros paredzēt iepirkuma komisijas, kas izveidota uz noteiktu laikposmu, pārvērtēšanu ne retāk kā reizi 12 mēnešos, pastāv risks, ka attiecīgā anotācijā ietvertā rekomendācija netiks ievērota. Līdz ar to netiktu sasniegts arī anotācijā noteiktais mērķis - nodrošināt, ka pasūtītāja vadošās amatpersonas biežāk kā līdz šim pārvērtē, vai iepirkuma komisija ir kompetenta attiecīgā iepirkuma veikšanai un vai nav saskatāmi acīmredzami interešu konflikta riski. Ņemot vērā minēto, aicinām anotācijā noteikto rekomendāciju iestrādāt ADJIL kā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teorētiski pastāv iespēja iepirkuma komisiju izveidot uz noteiktu laikposmu, kas pārsniedz pat vairākus gadus, ADJIL 28.pantu nepieciešams papildināt ar ceturto daļu, nosakot, ka pasūtītājs ne retāk kā reizi 12 mēnešos pārvērtē uz noteiktu laikposmu, kas pārsniedz 12 mēnešus, izveidotu iepirkuma komisiju kompetences atbilstības jautājumus un potenciālus interešu konflikta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likumprojekta anotācijā minētajam ar likumprojektu tiek pārņemtas arī juridiski nesaistošu dokumentu prasības (tai skaitā Eiropas Komisijas ieteikumi), lūdzam atbilstoši papildināt likumprojekta 5. sadaļu, aizpildot ailīti "Cita informācija" un sniedzot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papildināta anotācijas 5.3.sadaļa, norādot, ka tāpat likumprojekta izstrādē ir ņemti vērā Eiropas Komisijas ieteikumi un skaidrojumi un Eiropas Savienības tiesas judikatūra.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1.3.punktā noteiktās problēmas Nr.2 risinājuma apraksta 7.rindkopas pirmajā teikumā aizstāt vārdu "regulējumu" ar vārdu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pilnveidots regulējums attiecībā uz kārtību, kādā izpildāms lēmums par aizliegumu ieņemt amatus publisko iepirkumu jomā attiecībā uz ārvalstī mītošu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sākotnējās ietekmes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noteiktās problēmas Nr.2 risinājuma aprakstā norādīts, ka "[..] Ievērojot, ka teorētiski pastāv iespēja iepirkuma komisiju izveidot uz noteiktu laikposmu, kas pārsniedz pat vairākus gadus, institūciju iekšējās pretkorupcijas kontroles sistēmas ietvaros ir nepieciešams paredzēt, ka pasūtītājs ne retāk kā reizi 12 mēnešos pārvērtē uz noteiktu laikposmu, kas pārsniedz 12 mēnešus, izveidotu iepirkuma komisiju kompetences atbilstības jautājumus un potenciālus interešu konflikta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ārējā normatīvajā aktā nav noteikts pienākums institūciju iekšējās pretkorupcijas kontroles sistēmas ietvaros paredzēt iepirkuma komisijas, kas izveidota uz noteiktu laikposmu, pārvērtēšanu ne retāk kā reizi 12 mēnešos, pastāv risks, ka attiecīgā anotācijā ietvertā rekomendācija netiks ievērota. Līdz ar to netiktu sasniegts arī anotācijā noteiktais mērķis - nodrošināt, ka pasūtītāja vadošās amatpersonas biežāk kā līdz šim pārvērtē, vai iepirkuma komisija ir kompetenta attiecīgā iepirkuma veikšanai un vai nav saskatāmi acīmredzami interešu konflikta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iepriekš citēto anotācijas teikumu pārfrāzēt, nosakot ADJIL ietvert pienākumu pasūtītājam ne retāk kā reizi 12 mēnešos pārvērtēt uz noteiktu laikposmu, kas pārsniedz 12 mēnešus, izveidotu iepirkuma komisiju kompetences atbilstības jautājumus un potenciālus interešu konflikta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teorētiski pastāv iespēja iepirkuma komisiju izveidot uz noteiktu laikposmu, kas pārsniedz pat vairākus gadus, ADJIL 28.pantu nepieciešams papildināt ar ceturto daļu, nosakot, ka pasūtītājs ne retāk kā reizi 12 mēnešos pārvērtē uz noteiktu laikposmu, kas pārsniedz 12 mēnešus, izveidotu iepirkuma komisiju kompetences atbilstības jautājumus un potenciālus interešu konflikta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jautājumu skaidrojums jau ir ietverts izziņas 7.punktā.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iepirkumu jomas likumu grozījumi šobrīd vairs nav likumprojektu stadijā, bet ir pieņemti un izsludināti. Ņemot vērā minēto, lūdzam precizēt atsauces uz likumprojektiem.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atsauces uz citu likumu grozījumiem, kas ir pieņemti un izsludināti.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21-TA-333</w:t>
    </w:r>
    <w:r>
      <w:br/>
    </w:r>
    <w:r w:rsidR="00000000" w:rsidRPr="00000000" w:rsidDel="00000000">
      <w:rPr>
        <w:rtl w:val="0"/>
      </w:rPr>
      <w:t xml:space="preserve">07.06.2022. 13.50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21-TA-333</w:t>
    </w:r>
    <w:r>
      <w:br/>
    </w:r>
    <w:r w:rsidR="00000000" w:rsidRPr="00000000" w:rsidDel="00000000">
      <w:rPr>
        <w:rtl w:val="0"/>
      </w:rPr>
      <w:t xml:space="preserve">07.06.2022. 13.50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Izziņa_21-TA-333.docx</dc:title>
</cp:coreProperties>
</file>

<file path=docProps/custom.xml><?xml version="1.0" encoding="utf-8"?>
<Properties xmlns="http://schemas.openxmlformats.org/officeDocument/2006/custom-properties" xmlns:vt="http://schemas.openxmlformats.org/officeDocument/2006/docPropsVTypes"/>
</file>