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2024. gada 31. oktobrī Ministru komitejas ES fondu jautājumos sēdē pieņemto lēmumu pārdalīt ES fondu (t.sk.) elastības finansējumu  (bez nacionālā līdzfinansējuma)  kopumā 15 303 003  EUR  apmērā pārtikas atbalsta sniegšanas turpināšanai trūcīgām un krīzes situācijā nonākušām mājsaimniecībām ESF+ programmas materiālās nenodrošinātības mazināšanai 2021.–2027. gadam ietvaros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papildinot to ar izvērstu informāciju par 4.3.4.2.pasākuma pirmās atlases kārtai </w:t>
            </w:r>
            <w:r w:rsidR="00000000" w:rsidRPr="00000000" w:rsidDel="00000000">
              <w:rPr>
                <w:b w:val="1"/>
                <w:rtl w:val="0"/>
              </w:rPr>
              <w:t xml:space="preserve">izsludināto finansējumu</w:t>
            </w:r>
            <w:r w:rsidR="00000000" w:rsidRPr="00000000" w:rsidDel="00000000">
              <w:rPr>
                <w:rtl w:val="0"/>
              </w:rPr>
              <w:t xml:space="preserve"> (t.i. pieejamais kopējais attiecināmais finansējums ne vairāk kā 1 860 668 euro, tai skaitā Eiropas Sociālā fonda Plus finansējumu – 1 581 568 euro un valsts budžeta līdzfinansējumu – 279 100 euro), </w:t>
            </w:r>
            <w:r w:rsidR="00000000" w:rsidRPr="00000000" w:rsidDel="00000000">
              <w:rPr>
                <w:b w:val="1"/>
                <w:rtl w:val="0"/>
              </w:rPr>
              <w:t xml:space="preserve">projektos apstiprināto finansējumu</w:t>
            </w:r>
            <w:r w:rsidR="00000000" w:rsidRPr="00000000" w:rsidDel="00000000">
              <w:rPr>
                <w:rtl w:val="0"/>
              </w:rPr>
              <w:t xml:space="preserve">, </w:t>
            </w:r>
            <w:r w:rsidR="00000000" w:rsidRPr="00000000" w:rsidDel="00000000">
              <w:rPr>
                <w:b w:val="1"/>
                <w:rtl w:val="0"/>
              </w:rPr>
              <w:t xml:space="preserve">1.kārtā atlikušo finansējumu.</w:t>
            </w:r>
            <w:r w:rsidR="00000000" w:rsidRPr="00000000" w:rsidDel="00000000">
              <w:rPr>
                <w:rtl w:val="0"/>
              </w:rPr>
              <w:t xml:space="preserve">  Vēršam uzmanību, ka noteikumu grozījumu projekts paredz finansējuma pārdali no 4.3.4.2.pasākuma 1.kārtas, kurā projekti atrodas īstenošanas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w:t>
            </w:r>
            <w:r w:rsidR="00000000" w:rsidRPr="00000000" w:rsidDel="00000000">
              <w:rPr>
                <w:b w:val="1"/>
                <w:rtl w:val="0"/>
              </w:rPr>
              <w:t xml:space="preserve"> anotācijā sniegt informāciju par 2.kārtai plānoto finansējumu.</w:t>
            </w:r>
            <w:r w:rsidR="00000000" w:rsidRPr="00000000" w:rsidDel="00000000">
              <w:rPr>
                <w:rtl w:val="0"/>
              </w:rPr>
              <w:t xml:space="preserve"> 2024. gada jūlijā noslēdzās 4.3.4.2. pasākuma projektu 1. kārtas atlase. Atklātu projektu iesniegumu atlasi bija plānots organizēt vairākās kārtās, kamēr ir pieejams finansējums. Atbilstoši plānotajai finansējuma pārdalei (samazinājumam), attiecīgi samazinās finansējuma apmērs nākamajām atlases kārtām, ja tādas tiek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pārdale plānota no 4.3.4.2. pasākuma otrajai un trešajai kārtai paredzētā finansējuma, tas skaidrots arī Eiropas Savienības kohēzijas politikas programmas 2021.–2027. gadam (turpmāk – programma) grozījumu Nr. 3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atlases kārtu izsludina par ne vairāk kā 1 860 668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279 100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precizējams/ veicami grozījumi Ministru kabineta (turpmāk - MK) noteikumu 9.punktā. Vēršam uzmanību, ja MK noteikumu grozījumu projekts paredz izmaiņas finansējumā starp viena specifiskā  atbalsta mērķa (SAM) vai pasākuma, kārtām, </w:t>
            </w:r>
            <w:r w:rsidR="00000000" w:rsidRPr="00000000" w:rsidDel="00000000">
              <w:rPr>
                <w:b w:val="1"/>
                <w:rtl w:val="0"/>
              </w:rPr>
              <w:t xml:space="preserve">MK noteikumu grozījumu projektā ir norādīts katrai kārtai noteiktais finansējums</w:t>
            </w:r>
            <w:r w:rsidR="00000000" w:rsidRPr="00000000" w:rsidDel="00000000">
              <w:rPr>
                <w:rtl w:val="0"/>
              </w:rPr>
              <w:t xml:space="preserve">, kā arī noteikts, kur tiks novirzīti finansējuma atlikumi, ja tādi radīsies.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aktualizēt  noteikumu projektā 1.kārtas finansējumu atbilstoši apstiprināto projektu faktam, kā arī precīzi norādīt finansējuma apmēru, kas tiek paredzēts 2.kārtai, vienlaikus norādot, kur tiks novirzīti finansējuma atlikumi, ja tādi radīsies.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izvērtēja Finanšu ministrijas iebildumu un skaidro, ka nav iespējams izmainīt summu (finansējuma apmēru), par kādu projektu iesniegumu atlases pirmā kārta tika izsludināta, jo finansējuma apmērs ir fiksēts projektu iesniegumu atlases dokumentācijā (pieejama: https://www.cfla.gov.lv/lv/4-3-4-2-k-1). Tāpēc tā ir saglabājama MK noteikumu Nr. 212 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MK noteikumu Nr. 212 grozījumu veikšanā un par katru projektu iesniegumu atlases kārtu pie katrām finansējuma apmēra izmaiņām nebūtu jāveic MK noteikumu Nr. 212 grozījumi, precīzu finansējumu pa projektu iesniegumu atlases kārtām šobrīd nav plānots noteikt. MK noteikumu Nr. 212 9. punkts nosaka principu par nākamajām atlasēm nosakāmo finansējuma apmēru.  Līdzīga pieeja ir arī, piemēram, 4.3.5.1. pasākuma 4. kārtas MK 11.02.2025.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Taču, lai atbildīgā iestāde būtu informēta, par kādu finansējuma apmēru ir sludināma katra nākamā projektu iesniegumu, papildināts MK noteikumu Nr. 212 9. punkts ar nosacījumu sadarbības iestādei saskaņot ar atbildīgo iestādi projektu iesniegumu atlases finansējuma apmēru, par kādu sludināma attiecīgā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atlases kārtu izsludina par ne vairāk kā 1 860 669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279 101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 (Latvijas Vēstnesis,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4.3.4.2.pasākuma īstenošanai norādīts nepieciešamais Eiropas Sociālā fonda Plus (turpmāk – ESF+) finansējums 3 041 267 </w:t>
            </w:r>
            <w:r w:rsidR="00000000" w:rsidRPr="00000000" w:rsidDel="00000000">
              <w:rPr>
                <w:i w:val="1"/>
                <w:rtl w:val="0"/>
              </w:rPr>
              <w:t xml:space="preserve">euro </w:t>
            </w:r>
            <w:r w:rsidR="00000000" w:rsidRPr="00000000" w:rsidDel="00000000">
              <w:rPr>
                <w:rtl w:val="0"/>
              </w:rPr>
              <w:t xml:space="preserve">apmērā, kas veido 85,0000042% no projekta kopējā attiecināmā finansējuma (3 577 961 </w:t>
            </w:r>
            <w:r w:rsidR="00000000" w:rsidRPr="00000000" w:rsidDel="00000000">
              <w:rPr>
                <w:i w:val="1"/>
                <w:rtl w:val="0"/>
              </w:rPr>
              <w:t xml:space="preserve">euro</w:t>
            </w:r>
            <w:r w:rsidR="00000000" w:rsidRPr="00000000" w:rsidDel="00000000">
              <w:rPr>
                <w:rtl w:val="0"/>
              </w:rPr>
              <w:t xml:space="preserve">) un pārsniedz MK 02.04.2025. noteikumu Nr.212 10.punktā noteikto vērtību, t.i. 85 procentus no 4.3.4.2.pasākuma kopējā attiecināmā finansējuma. Līdz ar to lūdzam precizēt noteikumu projekta 3.punktā norādīto ESF+ finansējuma apmēru un attiecīgi arī valsts budžeta līdzfinansējuma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punkta “Problēmas apraksts” 1.punktā norādīto kopējā finansējuma samazinājuma apmēru, jo, veicot matemātisko aprēķinu (5 582 000 </w:t>
            </w:r>
            <w:r w:rsidR="00000000" w:rsidRPr="00000000" w:rsidDel="00000000">
              <w:rPr>
                <w:i w:val="1"/>
                <w:rtl w:val="0"/>
              </w:rPr>
              <w:t xml:space="preserve">euro </w:t>
            </w:r>
            <w:r w:rsidR="00000000" w:rsidRPr="00000000" w:rsidDel="00000000">
              <w:rPr>
                <w:rtl w:val="0"/>
              </w:rPr>
              <w:t xml:space="preserve">- 3 577 961 </w:t>
            </w:r>
            <w:r w:rsidR="00000000" w:rsidRPr="00000000" w:rsidDel="00000000">
              <w:rPr>
                <w:i w:val="1"/>
                <w:rtl w:val="0"/>
              </w:rPr>
              <w:t xml:space="preserve">euro</w:t>
            </w:r>
            <w:r w:rsidR="00000000" w:rsidRPr="00000000" w:rsidDel="00000000">
              <w:rPr>
                <w:rtl w:val="0"/>
              </w:rPr>
              <w:t xml:space="preserve">), veidojas 2 004 039 </w:t>
            </w:r>
            <w:r w:rsidR="00000000" w:rsidRPr="00000000" w:rsidDel="00000000">
              <w:rPr>
                <w:i w:val="1"/>
                <w:rtl w:val="0"/>
              </w:rPr>
              <w:t xml:space="preserve">euro</w:t>
            </w:r>
            <w:r w:rsidR="00000000" w:rsidRPr="00000000" w:rsidDel="00000000">
              <w:rPr>
                <w:rtl w:val="0"/>
              </w:rPr>
              <w:t xml:space="preserve">, nevis 2 004 038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1.3. sadaļas punkta “Problēmas apraksts” 1.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MK noteikumu projektu un tajā ietvertos attiecināmības nosacījumus. Ņemot vērā iepriekš minēto, vēršam uzmanību, ka šāda pieeja vadlīniju grozījumu, kas skar noteikumu projekta redakciju, neapstiprināšanas gadījumā var radīt risku veikt atkārtotus MK noteikumu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Finanšu ministrijas informāciju. Skaidrojam, ka TA projektā iekļautā redakcija nosaka, ka attiecināmas ir personāla atlīdzības izmaksas. Savukārt, ko tās sevī ietver, nosaka aktuālās attiecināmo izmaksu vadlīnijas. Finansējuma saņēmējam vadlīnijas ir saistošas, jo to paredz vienošanās ar Centrālo finanšu un līgumu aģentūru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lai no MK noteikumu grozījumu projektā un anotācijā ietvertās informācijas var izsekot, kurā Labklājības ministrijas pārraudzībā esošā pasākumā tiek plānots elastības finansējums, lai būtu iespējams nodrošināt, ka netiek izsludināta projektu iesniegumu atlase par elastības finansējumu līdz Eiropas komisijas (turpmāk - EK) lēmumam par Programmas vidusposma ziņojumu. Šāda rīcība nepieciešama, ja MK noteikumu grozījumu projekts skar izmaiņas finansējumā un tiek virzīts līdz EK lēmumam par Programmas vidusposma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31. oktobrī Ministru komitejas ES fondu jautājumos sēdē pieņemts lēmums pārdalīt ES fondu elastības finansējumu kopumā 15,3 milj.  </w:t>
            </w:r>
            <w:r w:rsidR="00000000" w:rsidRPr="00000000" w:rsidDel="00000000">
              <w:rPr>
                <w:i w:val="1"/>
                <w:rtl w:val="0"/>
              </w:rPr>
              <w:t xml:space="preserve">euro  </w:t>
            </w:r>
            <w:r w:rsidR="00000000" w:rsidRPr="00000000" w:rsidDel="00000000">
              <w:rPr>
                <w:rtl w:val="0"/>
              </w:rPr>
              <w:t xml:space="preserve">apmērā pārtikas atbalsta sniegšanas turpināšanai trūcīgām un krīzes situācijā nonākušām mājsaimniecībām ESF+ programmas materiālās nenodrošinātības mazināšanai 2021.–2027. gadam ietvaros. Minētajam mērķim kā viens no finansēšanas avotiem ir noteikts 4.3.4.2. pasākuma finansējums, kuram nav un netika plānots elastības finansējums. Apstiprinot MK noteikumus Nr. 212, anotācijā tika sniegta informācija, ka 4.3.4.2. pasākuma ietvaros elastības finansējums nav plānots, un attiecināmā daļa programmas 4.3.4.2. pasākumam paredzētajā apmērā (t.i., 880 701 </w:t>
            </w:r>
            <w:r w:rsidR="00000000" w:rsidRPr="00000000" w:rsidDel="00000000">
              <w:rPr>
                <w:i w:val="1"/>
                <w:rtl w:val="0"/>
              </w:rPr>
              <w:t xml:space="preserve">euro</w:t>
            </w:r>
            <w:r w:rsidR="00000000" w:rsidRPr="00000000" w:rsidDel="00000000">
              <w:rPr>
                <w:rtl w:val="0"/>
              </w:rPr>
              <w:t xml:space="preserve">, t.sk. ESF Plus finansējums 748 596 </w:t>
            </w:r>
            <w:r w:rsidR="00000000" w:rsidRPr="00000000" w:rsidDel="00000000">
              <w:rPr>
                <w:i w:val="1"/>
                <w:rtl w:val="0"/>
              </w:rPr>
              <w:t xml:space="preserve">euro</w:t>
            </w:r>
            <w:r w:rsidR="00000000" w:rsidRPr="00000000" w:rsidDel="00000000">
              <w:rPr>
                <w:rtl w:val="0"/>
              </w:rPr>
              <w:t xml:space="preserve">) tika kompensēta, nosakot elastības finansējumu programmas 4.3. prioritātei “Nodarbinātība un sociālā iekļaušana” 4.3.3.1. pasākuma “Bezdarbnieku, darba meklētāju un bezdarba riskam pakļauto personu kvalifikācijas un prasmju paaugstināšana” ietvaros 28 772 500 </w:t>
            </w:r>
            <w:r w:rsidR="00000000" w:rsidRPr="00000000" w:rsidDel="00000000">
              <w:rPr>
                <w:i w:val="1"/>
                <w:rtl w:val="0"/>
              </w:rPr>
              <w:t xml:space="preserve">euro </w:t>
            </w:r>
            <w:r w:rsidR="00000000" w:rsidRPr="00000000" w:rsidDel="00000000">
              <w:rPr>
                <w:rtl w:val="0"/>
              </w:rPr>
              <w:t xml:space="preserve">apmērā un programmas 4.3.3.2. pasākuma “Nelabvēlīgākā situācijā esošu bezdarbnieku un ekonomiski neaktīvo iedzīvotāju iekļaušanās darba tirgū sekmēšana” ietvaros 11 900 000 </w:t>
            </w:r>
            <w:r w:rsidR="00000000" w:rsidRPr="00000000" w:rsidDel="00000000">
              <w:rPr>
                <w:i w:val="1"/>
                <w:rtl w:val="0"/>
              </w:rPr>
              <w:t xml:space="preserve">euro </w:t>
            </w:r>
            <w:r w:rsidR="00000000" w:rsidRPr="00000000" w:rsidDel="00000000">
              <w:rPr>
                <w:rtl w:val="0"/>
              </w:rPr>
              <w:t xml:space="preserve">apmērā. Līdz ar to nepastāv risks, ka tiks izsludināta projektu iesniegumu atlase par elastības finansējumu, jo 4.3.4.2. pasākuma 1. kārta ir noslēgusies, un nākamās kārtas arī attiecīgi tiks izsludinātas bez elastības finansējuma, jo viss elastības finansējums pārvirzīts uz 4.3.3.1. un 4.3.3.2.pasākumu.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pasākumam kopējo finansējumu, lūdzam papildināt noteikumu projekta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4.3.4.2. pasākuma kopējo pieejamo finansējumu, finansējuma dalījums pa intervences kategorijām netiek mainīts, proti, 4.3.4.2. pasākuma ESF Plus investīcijām 3  041  266 </w:t>
            </w:r>
            <w:r w:rsidR="00000000" w:rsidRPr="00000000" w:rsidDel="00000000">
              <w:rPr>
                <w:i w:val="1"/>
                <w:rtl w:val="0"/>
              </w:rPr>
              <w:t xml:space="preserve">euro </w:t>
            </w:r>
            <w:r w:rsidR="00000000" w:rsidRPr="00000000" w:rsidDel="00000000">
              <w:rPr>
                <w:rtl w:val="0"/>
              </w:rPr>
              <w:t xml:space="preserve">apmērā piemērots 152. intervences kods “Pasākumi, kas veicina vienlīdzīgas iespējas un aktīvu līdzdalību sabiedrībā”, atbilstoši programmai, finansējuma veids – 01, dotācija, teritoriālie sasniegšanas mehānismi – 33, bez teritoriālā mērķa, ESF Plus sekundārās tēmas – 05 – nediskriminēšana, dzimumu līdztiesība – 02 –  dzimumu līdztiesības aspekta integrēšana, kā norādīts MK noteikumu Nr. 212 sākotnējā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izvērtējumu par ierosināto grozījumu </w:t>
            </w:r>
            <w:r w:rsidR="00000000" w:rsidRPr="00000000" w:rsidDel="00000000">
              <w:rPr>
                <w:b w:val="1"/>
                <w:rtl w:val="0"/>
              </w:rPr>
              <w:t xml:space="preserve">ietekmi uz īstenošanā esošajiem projektiem </w:t>
            </w:r>
            <w:r w:rsidR="00000000" w:rsidRPr="00000000" w:rsidDel="00000000">
              <w:rPr>
                <w:rtl w:val="0"/>
              </w:rPr>
              <w:t xml:space="preserve">(apstirprināts 31 projekts) un</w:t>
            </w:r>
            <w:r w:rsidR="00000000" w:rsidRPr="00000000" w:rsidDel="00000000">
              <w:rPr>
                <w:b w:val="1"/>
                <w:rtl w:val="0"/>
              </w:rPr>
              <w:t xml:space="preserve"> finansējuma saņēmējiem (biedrībām vai nodibinājumiem)</w:t>
            </w:r>
            <w:r w:rsidR="00000000" w:rsidRPr="00000000" w:rsidDel="00000000">
              <w:rPr>
                <w:rtl w:val="0"/>
              </w:rPr>
              <w:t xml:space="preserve">. Anotācijā ietvertajai informācijai ir jābūt pietiekamai, </w:t>
            </w:r>
            <w:r w:rsidR="00000000" w:rsidRPr="00000000" w:rsidDel="00000000">
              <w:rPr>
                <w:b w:val="1"/>
                <w:rtl w:val="0"/>
              </w:rPr>
              <w:t xml:space="preserve">lai būtu iespējams konstatēt, ka atbildīgā iestāde sadarbībā ar sadarbības iestādi ir izvērtējušas ierosināto grozījumu ietekmi uz īstenošanā esošajiem projektiem</w:t>
            </w:r>
            <w:r w:rsidR="00000000" w:rsidRPr="00000000" w:rsidDel="00000000">
              <w:rPr>
                <w:rtl w:val="0"/>
              </w:rPr>
              <w:t xml:space="preserve">, t.i. vai būs nepieciešami grozījumi noslēgtajos līgumos. Tostarp, anotācijā ir jābūt ietvertai arī informācijai, ka ir plānota visu projektu iesniedzēju (NVO)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1.6. sadaļa “Cita informācija”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4.3.4.2.pasākuma īstenošanai kopējā attiecināmā finansējuma samazinājumu, tai skaitā ESF+ finansējuma un valsts budžeta līdzfinansējuma samazinājumu, lūdzam anotācijas 3.sadaļā sniegt informāciju par noteikumu projekta finansiālo ietekmi uz valsts budžetu, kā arī norādīt Finanšu ministrijas budžeta apakšprogrammu, kurā tiks plānots finansējums 4.3.4.2.pasākuma īstenošanai. Vienlaikus lūdzam norādīt, ka 2025.gadam nepieciešamo valsts budžeta finansējumu Finanšu ministrija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 savukārt par nepieciešamo finansējumu 4.3.4.2.pasākuma īstenošanai 2026.gadam un turpmākajiem gadiem Finanšu ministrija sniegs priekšlikumus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pamatojumu anotācijā attiecībā par MK noteikumu grozījumu projekta punktiem, kuros tiek grozīti rādītāji. Vienlaikus, ievērojot to, ka noteikumu grozījumu projekts paredz samazināt finansējuma apmēru, aicinām pārliecināties un ietvert informāciju anotācijā, vai ar atlikušo finansējumu ir iespējams sasniegt 4.3.4.2.pasākuma rādītāju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1.3. sadaļas apakšsadaļas “Problēmas apraksts” 1. punktā ir sniegts skaidrojums, ka sakarā ar finansējuma samazinājumu ir nepieciešams precizēt/samazināt sasniedzamos rādītājus. Vienlaikus skaidrojam, ka TA projekta anotācija papildināta, sniedzot informāciju par grozījumu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3 577 961 </w:t>
            </w:r>
            <w:r w:rsidR="00000000" w:rsidRPr="00000000" w:rsidDel="00000000">
              <w:rPr>
                <w:i w:val="1"/>
                <w:rtl w:val="0"/>
              </w:rPr>
              <w:t xml:space="preserve">euro</w:t>
            </w:r>
            <w:r w:rsidR="00000000" w:rsidRPr="00000000" w:rsidDel="00000000">
              <w:rPr>
                <w:rtl w:val="0"/>
              </w:rPr>
              <w:t xml:space="preserve">, tai skaitā Eiropas Sociālā fonda Plus finansējums – 3 ​​​​​​​041 ​​​​​​​266 </w:t>
            </w:r>
            <w:r w:rsidR="00000000" w:rsidRPr="00000000" w:rsidDel="00000000">
              <w:rPr>
                <w:i w:val="1"/>
                <w:rtl w:val="0"/>
              </w:rPr>
              <w:t xml:space="preserve">euro </w:t>
            </w:r>
            <w:r w:rsidR="00000000" w:rsidRPr="00000000" w:rsidDel="00000000">
              <w:rPr>
                <w:rtl w:val="0"/>
              </w:rPr>
              <w:t xml:space="preserve">un valsts budžeta līdzfinansējums – 536 ​​​​​​​695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7.punktu, jo t</w:t>
            </w:r>
            <w:r w:rsidR="00000000" w:rsidRPr="00000000" w:rsidDel="00000000">
              <w:rPr>
                <w:b w:val="1"/>
                <w:rtl w:val="0"/>
              </w:rPr>
              <w:t xml:space="preserve">iek pārsniegta Eiropas Savienības kohēzijas politikas programmā 2021.–2027.gadam</w:t>
            </w:r>
            <w:r w:rsidR="00000000" w:rsidRPr="00000000" w:rsidDel="00000000">
              <w:rPr>
                <w:rtl w:val="0"/>
              </w:rPr>
              <w:t xml:space="preserve"> (turpmāk - Programma) </w:t>
            </w:r>
            <w:r w:rsidR="00000000" w:rsidRPr="00000000" w:rsidDel="00000000">
              <w:rPr>
                <w:b w:val="1"/>
                <w:rtl w:val="0"/>
              </w:rPr>
              <w:t xml:space="preserve">noteiktā Eiropas Sociālā fonda Plus (turpmāk – ESF+) līdzfinansējuma likme 85%</w:t>
            </w:r>
            <w:r w:rsidR="00000000" w:rsidRPr="00000000" w:rsidDel="00000000">
              <w:rPr>
                <w:rtl w:val="0"/>
              </w:rPr>
              <w:t xml:space="preserve">, turklāt Eiropas Komisijas SFC sistēma pārbauda arī % 13 zīmes aiz komata. Attiecīgi 4.3.4.2.pasākuma kopējais attiecināmais finansējums ir 3 577 962 euro, t.sk. ESF+ finansējuma daļa 3 041 267 </w:t>
            </w:r>
            <w:r w:rsidR="00000000" w:rsidRPr="00000000" w:rsidDel="00000000">
              <w:rPr>
                <w:i w:val="1"/>
                <w:rtl w:val="0"/>
              </w:rPr>
              <w:t xml:space="preserve">euro</w:t>
            </w:r>
            <w:r w:rsidR="00000000" w:rsidRPr="00000000" w:rsidDel="00000000">
              <w:rPr>
                <w:rtl w:val="0"/>
              </w:rPr>
              <w:t xml:space="preserve"> (84,9999804357900%), bet valsts budžeta līdzfinansējuma daļai 536 695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atbilstošos precizējumus anotācijas 1.3.apakšsadaļas punktā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3 577 962 </w:t>
            </w:r>
            <w:r w:rsidR="00000000" w:rsidRPr="00000000" w:rsidDel="00000000">
              <w:rPr>
                <w:i w:val="1"/>
                <w:rtl w:val="0"/>
              </w:rPr>
              <w:t xml:space="preserve">euro</w:t>
            </w:r>
            <w:r w:rsidR="00000000" w:rsidRPr="00000000" w:rsidDel="00000000">
              <w:rPr>
                <w:rtl w:val="0"/>
              </w:rPr>
              <w:t xml:space="preserve">, tai skaitā Eiropas Sociālā fonda Plus finansējums – 3 041 267 </w:t>
            </w:r>
            <w:r w:rsidR="00000000" w:rsidRPr="00000000" w:rsidDel="00000000">
              <w:rPr>
                <w:i w:val="1"/>
                <w:rtl w:val="0"/>
              </w:rPr>
              <w:t xml:space="preserve">euro </w:t>
            </w:r>
            <w:r w:rsidR="00000000" w:rsidRPr="00000000" w:rsidDel="00000000">
              <w:rPr>
                <w:rtl w:val="0"/>
              </w:rPr>
              <w:t xml:space="preserve">un valsts budžeta līdzfinansējums – 536 ​​​​​​​695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atlases kārtu izsludina par ne vairāk kā 1 860 668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279 100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par noteikumu projekta 9.punktā minēto finansējumu. Aicinām anotācijā norādīt: 1) izsludināto atlases finansējumu, un 2) skaidrot 1.kārtas atlasē projektos apstiprināto finansējuma apmēru (ņemot vērā, ka projekta iesniegumu atlase ir noslēgusies). Gadījumā, ja  ESF+ finansējums ir 1 079 661 euro (84,9999606358104%) un valsts budžeta līdzfinansējums  ir 190 529 euro, tad jāaprēķina atlikušo projektu iesniegumu atlases 2.kārtai paredzēto finansējuma apmēru sadalījumā pa finansējuma avotiem. (Noteikumu projekta 7.punkta finansējuma starpība ar noteikumu projekta 9.punkta projektu iesniegumu atlases 1.kārtas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lai  pārbaudītu noteiktā finansējuma kopsummu un aritmētiku pret specifisko atbalsta mērķi (turpmāk - SAM), pasākuma, kārtas finansējumu - Programmas Papildinājumā ir norādāms </w:t>
            </w:r>
            <w:r w:rsidR="00000000" w:rsidRPr="00000000" w:rsidDel="00000000">
              <w:rPr>
                <w:u w:val="single"/>
                <w:rtl w:val="0"/>
              </w:rPr>
              <w:t xml:space="preserve">katras atlases kārtas finansējums</w:t>
            </w:r>
            <w:r w:rsidR="00000000" w:rsidRPr="00000000" w:rsidDel="00000000">
              <w:rPr>
                <w:rtl w:val="0"/>
              </w:rPr>
              <w:t xml:space="preserve">, tādējādi nodrošinot kopējā Programmas finansējuma izsekojamību, t.sk. gūstot pārliecību, vai visa atlases kārtu finansējuma summa atbilst 4.3.4.2.pasākuma/ SAM finansējuma kopsummai, un ka maksimālais attiecināmais ESF+ finansējuma apmērs nepārsniedz 85%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2025.gada 8.janvārī, kontekstā ar Programmas 2021-2027 vidusposma grozījumiem, nosūtīja Finanšu ministrijai informāciju, tostarp precizētu Programmas papildinājumu (veikti precizējumi saistībā ar finansējuma pārdali no 4.3.5.1. pasākuma 2. kārtas uz 4. kārtu, kā arī no 4.3.4.2. pasākuma projektu iesniegumu atlases pirmā uzsaukuma uz nākamajiem uzsaukumiem (Programmas papildinājumā tiek norādīts kā 2.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Programmas Papildinājumā šobrīd ir fiksētas divas projekta iesniegumu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1.kārtai: 1 270 190 euro, t.sk. ESF+ 1 079 661 euro (84,9999606358104%) un valsts budžeta līdzfinansējums 190 529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2.kārtai: 2 307 772 euro, t.sk. ESF+ 1 961 606 euro un valsts budžeta līdzfinansējums 346 166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arī Kohēzijas politikas fondu vadības informācijas sistēmā (turpmāk – KPVIS) ir jāievada 4.3.4.2.pasākuma finansējums dalījumā pa kārtām. Ja noteikumu projektā, vai tā anotācijā skaidri netiek atrunāts finansējuma apmērs – KPVIS nav iespējams ievadīt korektu informāciju. Attiecīgi KPVIS brīdina par summu nesakritībām starp virsprojekta līmeņiem, t.i. starp, piemēram, SAM un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4.3.4.2. pasākuma 1. kārta tika izsludināta par MK noteikumu Nr. 212 9. punktā noteikto summu, proti, 1 860 668 </w:t>
            </w:r>
            <w:r w:rsidR="00000000" w:rsidRPr="00000000" w:rsidDel="00000000">
              <w:rPr>
                <w:i w:val="1"/>
                <w:rtl w:val="0"/>
              </w:rPr>
              <w:t xml:space="preserve">euro</w:t>
            </w:r>
            <w:r w:rsidR="00000000" w:rsidRPr="00000000" w:rsidDel="00000000">
              <w:rPr>
                <w:rtl w:val="0"/>
              </w:rPr>
              <w:t xml:space="preserve">. Atlases rezultātā tika apstiprināts 31 projekts par kopējo summu 1 270 190 </w:t>
            </w:r>
            <w:r w:rsidR="00000000" w:rsidRPr="00000000" w:rsidDel="00000000">
              <w:rPr>
                <w:i w:val="1"/>
                <w:rtl w:val="0"/>
              </w:rPr>
              <w:t xml:space="preserve">euro </w:t>
            </w:r>
            <w:r w:rsidR="00000000" w:rsidRPr="00000000" w:rsidDel="00000000">
              <w:rPr>
                <w:rtl w:val="0"/>
              </w:rPr>
              <w:t xml:space="preserve">(ESF+ – 1 079 661 </w:t>
            </w:r>
            <w:r w:rsidR="00000000" w:rsidRPr="00000000" w:rsidDel="00000000">
              <w:rPr>
                <w:i w:val="1"/>
                <w:rtl w:val="0"/>
              </w:rPr>
              <w:t xml:space="preserve">euro</w:t>
            </w:r>
            <w:r w:rsidR="00000000" w:rsidRPr="00000000" w:rsidDel="00000000">
              <w:rPr>
                <w:rtl w:val="0"/>
              </w:rPr>
              <w:t xml:space="preserve">, VB – 346 166 </w:t>
            </w:r>
            <w:r w:rsidR="00000000" w:rsidRPr="00000000" w:rsidDel="00000000">
              <w:rPr>
                <w:i w:val="1"/>
                <w:rtl w:val="0"/>
              </w:rPr>
              <w:t xml:space="preserve">euro</w:t>
            </w:r>
            <w:r w:rsidR="00000000" w:rsidRPr="00000000" w:rsidDel="00000000">
              <w:rPr>
                <w:rtl w:val="0"/>
              </w:rPr>
              <w:t xml:space="preserve">). Ņemot vērā 1. kārtas atlikumu, nākamajām kārtām (indikatīvi plānotas vēl 2 kārtas) atlikušais finansējums pēc pārdales ir 2 307 772 </w:t>
            </w:r>
            <w:r w:rsidR="00000000" w:rsidRPr="00000000" w:rsidDel="00000000">
              <w:rPr>
                <w:i w:val="1"/>
                <w:rtl w:val="0"/>
              </w:rPr>
              <w:t xml:space="preserve">euro </w:t>
            </w:r>
            <w:r w:rsidR="00000000" w:rsidRPr="00000000" w:rsidDel="00000000">
              <w:rPr>
                <w:rtl w:val="0"/>
              </w:rPr>
              <w:t xml:space="preserve">(ESF+ – 1 961 606 </w:t>
            </w:r>
            <w:r w:rsidR="00000000" w:rsidRPr="00000000" w:rsidDel="00000000">
              <w:rPr>
                <w:i w:val="1"/>
                <w:rtl w:val="0"/>
              </w:rPr>
              <w:t xml:space="preserve">euro</w:t>
            </w:r>
            <w:r w:rsidR="00000000" w:rsidRPr="00000000" w:rsidDel="00000000">
              <w:rPr>
                <w:rtl w:val="0"/>
              </w:rPr>
              <w:t xml:space="preserve">, VB – 346 166 </w:t>
            </w:r>
            <w:r w:rsidR="00000000" w:rsidRPr="00000000" w:rsidDel="00000000">
              <w:rPr>
                <w:i w:val="1"/>
                <w:rtl w:val="0"/>
              </w:rPr>
              <w:t xml:space="preserve">euro</w:t>
            </w:r>
            <w:r w:rsidR="00000000" w:rsidRPr="00000000" w:rsidDel="00000000">
              <w:rPr>
                <w:rtl w:val="0"/>
              </w:rPr>
              <w:t xml:space="preserve">). Šī informācija arī iekļauta TA projekta anotācijas sadaļā “Problēmas apraksts” (finansējuma apmērs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 212 9. punktā noteikts maksimālais finansējuma apmērs, par kādu var tikt izsludināta katra projektu atlases kārta. Taču katras kārtas gala finansējums atkarīgs no apstiprināto projektu skaita. Tā, piemēram, kā minēts iepriekš, pirmā kārta tika izsludināta par  1 860 668 </w:t>
            </w:r>
            <w:r w:rsidR="00000000" w:rsidRPr="00000000" w:rsidDel="00000000">
              <w:rPr>
                <w:i w:val="1"/>
                <w:rtl w:val="0"/>
              </w:rPr>
              <w:t xml:space="preserve">euro</w:t>
            </w:r>
            <w:r w:rsidR="00000000" w:rsidRPr="00000000" w:rsidDel="00000000">
              <w:rPr>
                <w:rtl w:val="0"/>
              </w:rPr>
              <w:t xml:space="preserve">, taču projekti apstiprināti par 1 270 190 </w:t>
            </w:r>
            <w:r w:rsidR="00000000" w:rsidRPr="00000000" w:rsidDel="00000000">
              <w:rPr>
                <w:i w:val="1"/>
                <w:rtl w:val="0"/>
              </w:rPr>
              <w:t xml:space="preserve">euro</w:t>
            </w:r>
            <w:r w:rsidR="00000000" w:rsidRPr="00000000" w:rsidDel="00000000">
              <w:rPr>
                <w:rtl w:val="0"/>
              </w:rPr>
              <w:t xml:space="preserve">. 1. kārtas finanšu atlikums (590 478 </w:t>
            </w:r>
            <w:r w:rsidR="00000000" w:rsidRPr="00000000" w:rsidDel="00000000">
              <w:rPr>
                <w:i w:val="1"/>
                <w:rtl w:val="0"/>
              </w:rPr>
              <w:t xml:space="preserve">euro</w:t>
            </w:r>
            <w:r w:rsidR="00000000" w:rsidRPr="00000000" w:rsidDel="00000000">
              <w:rPr>
                <w:rtl w:val="0"/>
              </w:rPr>
              <w:t xml:space="preserve">, t.sk., ESF+ – 501 907 </w:t>
            </w:r>
            <w:r w:rsidR="00000000" w:rsidRPr="00000000" w:rsidDel="00000000">
              <w:rPr>
                <w:i w:val="1"/>
                <w:rtl w:val="0"/>
              </w:rPr>
              <w:t xml:space="preserve">euro</w:t>
            </w:r>
            <w:r w:rsidR="00000000" w:rsidRPr="00000000" w:rsidDel="00000000">
              <w:rPr>
                <w:rtl w:val="0"/>
              </w:rPr>
              <w:t xml:space="preserve">, VB – 88 580 </w:t>
            </w:r>
            <w:r w:rsidR="00000000" w:rsidRPr="00000000" w:rsidDel="00000000">
              <w:rPr>
                <w:i w:val="1"/>
                <w:rtl w:val="0"/>
              </w:rPr>
              <w:t xml:space="preserve">euro</w:t>
            </w:r>
            <w:r w:rsidR="00000000" w:rsidRPr="00000000" w:rsidDel="00000000">
              <w:rPr>
                <w:rtl w:val="0"/>
              </w:rPr>
              <w:t xml:space="preserve">) tiks pārdalīts nākamajām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programmas papildinājumā 4.3.4.2. pasākumam ir norādītas 2 atlases kārtas, atbilstoši 4.3.4. SAM rādītāju metodoloģijas aprakstā norādītajam, </w:t>
            </w:r>
            <w:r w:rsidR="00000000" w:rsidRPr="00000000" w:rsidDel="00000000">
              <w:rPr>
                <w:i w:val="1"/>
                <w:rtl w:val="0"/>
              </w:rPr>
              <w:t xml:space="preserve">4.3.4.2. pasākuma sasniedzamās rādītāju vērtības tiks uzskatītas par izpildītām, noslēdzot līgumus par projekta īstenošanu vairākās atklātu projektu iesniegumu atlases kārtās (indikatīvi plānotas 3 kārtas, tomēr atlašu kārtu skaits var tikt precizēts atbilstoši faktiskajai situācijai)</w:t>
            </w:r>
            <w:r w:rsidR="00000000" w:rsidRPr="00000000" w:rsidDel="00000000">
              <w:rPr>
                <w:rtl w:val="0"/>
              </w:rPr>
              <w:t xml:space="preserve">. Tas nozīmē, ka nav izslēgts, ka tiks organizētas vairāk kā divas atlases kārtas, līdz kamēr būs pieejams finansējums. Labklājības ministrija iesniegs atbilstošus precizējumus programmas papildinājumā, tiklīdz būs pieejama aktuālā finanšu informācijas pēc 2. kārtas izsludināšanas/projektu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4.3.4.2. pasākuma pirmā atlases kārta jau ir noslēgusies un MK noteikumu Nr. 212 10. punktā noteiks, ka ESF Plus finansējums nevar pārsniegt 85 procentus no projekta kopējā attiecināmo izmaksu finansējuma (nevis atlases kārtas), MK noteikumu Nr. 212 9. punktā noteikto maksimālo katras atlases kārtas finansējumu pēc būtības šobrīd nav nepieciešams precizēt. Taču, ņemot  vērā Finanšu ministrijas pieprasījumu matemātiski koriģēt vienai atlases kārtai nosakāmo finansējumu par vienu </w:t>
            </w:r>
            <w:r w:rsidR="00000000" w:rsidRPr="00000000" w:rsidDel="00000000">
              <w:rPr>
                <w:i w:val="1"/>
                <w:rtl w:val="0"/>
              </w:rPr>
              <w:t xml:space="preserve">euro </w:t>
            </w:r>
            <w:r w:rsidR="00000000" w:rsidRPr="00000000" w:rsidDel="00000000">
              <w:rPr>
                <w:rtl w:val="0"/>
              </w:rPr>
              <w:t xml:space="preserve">(t.sk., jau notikušas atlases informāciju), MK noteikumu Nr. 212 9.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atlases kārtu izsludina par ne vairāk kā 1 860 669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279 101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25.punktu, papildinot to ar apakšpunktu, kas paredz, ka finansējuma saņēmējs nodrošina interešu konflikta neesību saskaņā ar Eiropas Parlamenta un Padomes 2024. gada 23. septembra Regulas (ES, Euratom) 2024/2509 par finanšu noteikumiem, ko piemēro Savienības vispārējam budžetam (pārstrādātā redakcija) Nr. 2024/2509), 61.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iesniedzēju juridisko formu (privāto tiesību subjekts) un plānotās darbības (nav paredzēts sniegt finansiālu atbalstu tālāk gala labuma guvējiem), uz tiem nav attiecināmas Eiropas Parlamenta un Padomes 2024. gada 23. septembra Regulas (ES, Euratom) 2024/2509 par finanšu noteikumiem, ko piemēro Savienības vispārējam budžetam (pārstrādātā redakcija) prasības un publiskos iepirkumus regulējošie normatīvie akti. Biedrības un nodibinājumi veic iepirkumus saskaņā ar Ministru kabineta 2017. gada 28. februāra noteikumiem Nr. 104 "Noteikumi par iepirkuma procedūru un tās piemērošanas kārtību pasūtītāja finansētiem projektiem", un to ietvaros finansējuma saņēmējs paraksta interešu konflikta apliecinājumu. Līdz ar to Labklājības ministrija nav paredzējusi prasību projekta vadības un īstenošanas personālam parakstīt atsevišķu papildu interešu konflikta apliecinājumu. Minētais jautājums vērtēts arī, virzot apstiprināšanai  sākotnējos MK noteikumus Nr. 212. Skat. izziņas par saņemtajiem iebildumiem/priekšlikumiem 31. punktu (izziņa pieejama - https://tapportals.mk.gov.lv/attachments/legal_acts/additional_documents/ec06b16b-d27b-4648-81a9-879008c55b19/download).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projektu, finansējuma saņēmējs: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25-TA-819</w:t>
    </w:r>
    <w:r>
      <w:br/>
    </w:r>
    <w:r w:rsidR="00000000" w:rsidRPr="00000000" w:rsidDel="00000000">
      <w:rPr>
        <w:rtl w:val="0"/>
      </w:rPr>
      <w:t xml:space="preserve">30.06.2025. 11.17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25-TA-819</w:t>
    </w:r>
    <w:r>
      <w:br/>
    </w:r>
    <w:r w:rsidR="00000000" w:rsidRPr="00000000" w:rsidDel="00000000">
      <w:rPr>
        <w:rtl w:val="0"/>
      </w:rPr>
      <w:t xml:space="preserve">30.06.2025. 11.17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Izziņa_25-TA-819.docx</dc:title>
</cp:coreProperties>
</file>

<file path=docProps/custom.xml><?xml version="1.0" encoding="utf-8"?>
<Properties xmlns="http://schemas.openxmlformats.org/officeDocument/2006/custom-properties" xmlns:vt="http://schemas.openxmlformats.org/officeDocument/2006/docPropsVTypes"/>
</file>