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6B0DC" w14:textId="77777777" w:rsidR="00786DAF" w:rsidRPr="002D4024" w:rsidRDefault="00786DAF" w:rsidP="002C22B9">
      <w:pPr>
        <w:jc w:val="center"/>
        <w:rPr>
          <w:sz w:val="20"/>
        </w:rPr>
      </w:pPr>
    </w:p>
    <w:p w14:paraId="4C4BC49C" w14:textId="77777777" w:rsidR="002C22B9" w:rsidRPr="002D4024" w:rsidRDefault="002C22B9" w:rsidP="002C22B9">
      <w:pPr>
        <w:jc w:val="center"/>
        <w:rPr>
          <w:sz w:val="20"/>
        </w:rPr>
      </w:pPr>
      <w:r w:rsidRPr="002D4024">
        <w:rPr>
          <w:sz w:val="20"/>
        </w:rPr>
        <w:t>Rīgā</w:t>
      </w:r>
    </w:p>
    <w:p w14:paraId="11C2629A" w14:textId="77777777" w:rsidR="002C22B9" w:rsidRPr="002D4024"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2D4024" w14:paraId="000AEA2A" w14:textId="77777777" w:rsidTr="009F77B9">
        <w:tc>
          <w:tcPr>
            <w:tcW w:w="450" w:type="dxa"/>
            <w:tcBorders>
              <w:top w:val="nil"/>
              <w:left w:val="nil"/>
              <w:bottom w:val="nil"/>
              <w:right w:val="nil"/>
            </w:tcBorders>
          </w:tcPr>
          <w:p w14:paraId="694D5DD3" w14:textId="77777777" w:rsidR="002C22B9" w:rsidRPr="002D4024" w:rsidRDefault="002C22B9" w:rsidP="002C22B9">
            <w:pPr>
              <w:tabs>
                <w:tab w:val="left" w:pos="360"/>
                <w:tab w:val="left" w:pos="3960"/>
              </w:tabs>
              <w:rPr>
                <w:sz w:val="20"/>
              </w:rPr>
            </w:pPr>
          </w:p>
        </w:tc>
        <w:bookmarkStart w:id="0" w:name="reg_dat"/>
        <w:tc>
          <w:tcPr>
            <w:tcW w:w="1785" w:type="dxa"/>
            <w:tcBorders>
              <w:top w:val="nil"/>
              <w:left w:val="nil"/>
              <w:bottom w:val="single" w:sz="4" w:space="0" w:color="auto"/>
              <w:right w:val="nil"/>
            </w:tcBorders>
          </w:tcPr>
          <w:p w14:paraId="5815441D" w14:textId="3D2B0C40" w:rsidR="002C22B9" w:rsidRPr="002D4024" w:rsidRDefault="002C22B9" w:rsidP="002C22B9">
            <w:pPr>
              <w:tabs>
                <w:tab w:val="left" w:pos="3960"/>
              </w:tabs>
              <w:rPr>
                <w:szCs w:val="24"/>
              </w:rPr>
            </w:pPr>
            <w:r w:rsidRPr="002D4024">
              <w:rPr>
                <w:szCs w:val="24"/>
              </w:rPr>
              <w:fldChar w:fldCharType="begin">
                <w:ffData>
                  <w:name w:val="reg_dat"/>
                  <w:enabled/>
                  <w:calcOnExit w:val="0"/>
                  <w:textInput>
                    <w:default w:val="                      "/>
                  </w:textInput>
                </w:ffData>
              </w:fldChar>
            </w:r>
            <w:r w:rsidRPr="002D4024">
              <w:rPr>
                <w:szCs w:val="24"/>
              </w:rPr>
              <w:instrText xml:space="preserve"> FORMTEXT </w:instrText>
            </w:r>
            <w:r w:rsidR="00DB1C23" w:rsidRPr="002D4024">
              <w:rPr>
                <w:szCs w:val="24"/>
              </w:rPr>
            </w:r>
            <w:r w:rsidRPr="002D4024">
              <w:rPr>
                <w:szCs w:val="24"/>
              </w:rPr>
              <w:fldChar w:fldCharType="separate"/>
            </w:r>
            <w:r w:rsidR="00DB1C23">
              <w:rPr>
                <w:szCs w:val="24"/>
              </w:rPr>
              <w:t>03.09.2021</w:t>
            </w:r>
            <w:r w:rsidRPr="002D4024">
              <w:rPr>
                <w:szCs w:val="24"/>
              </w:rPr>
              <w:fldChar w:fldCharType="end"/>
            </w:r>
            <w:bookmarkEnd w:id="0"/>
          </w:p>
        </w:tc>
        <w:tc>
          <w:tcPr>
            <w:tcW w:w="708" w:type="dxa"/>
            <w:tcBorders>
              <w:top w:val="nil"/>
              <w:left w:val="nil"/>
              <w:bottom w:val="nil"/>
              <w:right w:val="nil"/>
            </w:tcBorders>
          </w:tcPr>
          <w:p w14:paraId="42E2EBEB" w14:textId="77777777" w:rsidR="002C22B9" w:rsidRPr="002D4024" w:rsidRDefault="002C22B9" w:rsidP="002C22B9">
            <w:pPr>
              <w:tabs>
                <w:tab w:val="left" w:pos="360"/>
                <w:tab w:val="left" w:pos="3960"/>
              </w:tabs>
              <w:jc w:val="center"/>
              <w:rPr>
                <w:sz w:val="20"/>
              </w:rPr>
            </w:pPr>
            <w:r w:rsidRPr="002D4024">
              <w:rPr>
                <w:sz w:val="20"/>
              </w:rPr>
              <w:t>Nr.</w:t>
            </w:r>
          </w:p>
        </w:tc>
        <w:bookmarkStart w:id="1" w:name="lietas_nr"/>
        <w:tc>
          <w:tcPr>
            <w:tcW w:w="2727" w:type="dxa"/>
            <w:tcBorders>
              <w:top w:val="nil"/>
              <w:left w:val="nil"/>
              <w:bottom w:val="single" w:sz="4" w:space="0" w:color="auto"/>
              <w:right w:val="nil"/>
            </w:tcBorders>
          </w:tcPr>
          <w:p w14:paraId="168178FB" w14:textId="33EBB348" w:rsidR="002C22B9" w:rsidRPr="002D4024" w:rsidRDefault="002C22B9" w:rsidP="002C22B9">
            <w:pPr>
              <w:tabs>
                <w:tab w:val="left" w:pos="360"/>
                <w:tab w:val="left" w:pos="3960"/>
              </w:tabs>
              <w:rPr>
                <w:szCs w:val="24"/>
              </w:rPr>
            </w:pPr>
            <w:r w:rsidRPr="002D4024">
              <w:rPr>
                <w:szCs w:val="24"/>
              </w:rPr>
              <w:fldChar w:fldCharType="begin">
                <w:ffData>
                  <w:name w:val="lietas_nr"/>
                  <w:enabled/>
                  <w:calcOnExit w:val="0"/>
                  <w:textInput>
                    <w:default w:val="                "/>
                  </w:textInput>
                </w:ffData>
              </w:fldChar>
            </w:r>
            <w:r w:rsidRPr="002D4024">
              <w:rPr>
                <w:szCs w:val="24"/>
              </w:rPr>
              <w:instrText xml:space="preserve"> FORMTEXT </w:instrText>
            </w:r>
            <w:r w:rsidRPr="002D4024">
              <w:rPr>
                <w:szCs w:val="24"/>
              </w:rPr>
            </w:r>
            <w:r w:rsidRPr="002D4024">
              <w:rPr>
                <w:szCs w:val="24"/>
              </w:rPr>
              <w:fldChar w:fldCharType="separate"/>
            </w:r>
            <w:r w:rsidR="00427A45" w:rsidRPr="002D4024">
              <w:rPr>
                <w:szCs w:val="24"/>
              </w:rPr>
              <w:t>4.3-6/20-VK</w:t>
            </w:r>
            <w:r w:rsidRPr="002D4024">
              <w:rPr>
                <w:szCs w:val="24"/>
              </w:rPr>
              <w:fldChar w:fldCharType="end"/>
            </w:r>
            <w:bookmarkEnd w:id="1"/>
            <w:r w:rsidRPr="002D4024">
              <w:rPr>
                <w:szCs w:val="24"/>
              </w:rPr>
              <w:t>/</w:t>
            </w:r>
            <w:bookmarkStart w:id="2" w:name="reg_num"/>
            <w:r w:rsidRPr="002D4024">
              <w:rPr>
                <w:szCs w:val="24"/>
              </w:rPr>
              <w:fldChar w:fldCharType="begin">
                <w:ffData>
                  <w:name w:val="reg_num"/>
                  <w:enabled/>
                  <w:calcOnExit w:val="0"/>
                  <w:textInput>
                    <w:default w:val="            "/>
                  </w:textInput>
                </w:ffData>
              </w:fldChar>
            </w:r>
            <w:r w:rsidRPr="002D4024">
              <w:rPr>
                <w:szCs w:val="24"/>
              </w:rPr>
              <w:instrText xml:space="preserve"> FORMTEXT </w:instrText>
            </w:r>
            <w:r w:rsidR="00DB1C23" w:rsidRPr="002D4024">
              <w:rPr>
                <w:szCs w:val="24"/>
              </w:rPr>
            </w:r>
            <w:r w:rsidRPr="002D4024">
              <w:rPr>
                <w:szCs w:val="24"/>
              </w:rPr>
              <w:fldChar w:fldCharType="separate"/>
            </w:r>
            <w:r w:rsidR="00DB1C23">
              <w:rPr>
                <w:szCs w:val="24"/>
              </w:rPr>
              <w:t>4880</w:t>
            </w:r>
            <w:r w:rsidRPr="002D4024">
              <w:rPr>
                <w:szCs w:val="24"/>
              </w:rPr>
              <w:fldChar w:fldCharType="end"/>
            </w:r>
            <w:bookmarkEnd w:id="2"/>
          </w:p>
        </w:tc>
      </w:tr>
      <w:tr w:rsidR="002C22B9" w:rsidRPr="002D4024" w14:paraId="0441B770" w14:textId="77777777" w:rsidTr="009F77B9">
        <w:trPr>
          <w:trHeight w:val="188"/>
        </w:trPr>
        <w:tc>
          <w:tcPr>
            <w:tcW w:w="450" w:type="dxa"/>
            <w:tcBorders>
              <w:top w:val="nil"/>
              <w:left w:val="nil"/>
              <w:bottom w:val="nil"/>
              <w:right w:val="nil"/>
            </w:tcBorders>
          </w:tcPr>
          <w:p w14:paraId="3DC5EA7B" w14:textId="77777777" w:rsidR="002C22B9" w:rsidRPr="002D4024"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6CC14461" w14:textId="77777777" w:rsidR="002C22B9" w:rsidRPr="002D4024" w:rsidRDefault="002C22B9" w:rsidP="002C22B9">
            <w:pPr>
              <w:tabs>
                <w:tab w:val="left" w:pos="360"/>
                <w:tab w:val="left" w:pos="3960"/>
              </w:tabs>
              <w:rPr>
                <w:sz w:val="20"/>
              </w:rPr>
            </w:pPr>
          </w:p>
        </w:tc>
        <w:tc>
          <w:tcPr>
            <w:tcW w:w="708" w:type="dxa"/>
            <w:tcBorders>
              <w:top w:val="nil"/>
              <w:left w:val="nil"/>
              <w:bottom w:val="nil"/>
              <w:right w:val="nil"/>
            </w:tcBorders>
          </w:tcPr>
          <w:p w14:paraId="4D692098" w14:textId="77777777" w:rsidR="002C22B9" w:rsidRPr="002D4024"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55143BA9" w14:textId="77777777" w:rsidR="002C22B9" w:rsidRPr="002D4024" w:rsidRDefault="002C22B9" w:rsidP="002C22B9">
            <w:pPr>
              <w:tabs>
                <w:tab w:val="left" w:pos="360"/>
                <w:tab w:val="left" w:pos="3960"/>
              </w:tabs>
              <w:rPr>
                <w:sz w:val="20"/>
              </w:rPr>
            </w:pPr>
          </w:p>
        </w:tc>
      </w:tr>
      <w:tr w:rsidR="002C22B9" w:rsidRPr="002D4024" w14:paraId="129E87BE" w14:textId="77777777" w:rsidTr="009F77B9">
        <w:tc>
          <w:tcPr>
            <w:tcW w:w="450" w:type="dxa"/>
            <w:tcBorders>
              <w:top w:val="nil"/>
              <w:left w:val="nil"/>
              <w:bottom w:val="nil"/>
              <w:right w:val="nil"/>
            </w:tcBorders>
          </w:tcPr>
          <w:p w14:paraId="6826EC85" w14:textId="77777777" w:rsidR="002C22B9" w:rsidRPr="002D4024" w:rsidRDefault="002C22B9" w:rsidP="002C22B9">
            <w:pPr>
              <w:tabs>
                <w:tab w:val="left" w:pos="360"/>
                <w:tab w:val="left" w:pos="3960"/>
              </w:tabs>
              <w:rPr>
                <w:sz w:val="20"/>
              </w:rPr>
            </w:pPr>
            <w:r w:rsidRPr="002D4024">
              <w:rPr>
                <w:sz w:val="20"/>
              </w:rPr>
              <w:t>Uz</w:t>
            </w:r>
          </w:p>
        </w:tc>
        <w:tc>
          <w:tcPr>
            <w:tcW w:w="1785" w:type="dxa"/>
            <w:tcBorders>
              <w:top w:val="nil"/>
              <w:left w:val="nil"/>
              <w:bottom w:val="single" w:sz="4" w:space="0" w:color="auto"/>
              <w:right w:val="nil"/>
            </w:tcBorders>
          </w:tcPr>
          <w:p w14:paraId="384CAA4B" w14:textId="39D0E60C" w:rsidR="002C22B9" w:rsidRPr="002D4024" w:rsidRDefault="002C22B9" w:rsidP="002C22B9">
            <w:pPr>
              <w:tabs>
                <w:tab w:val="left" w:pos="360"/>
                <w:tab w:val="left" w:pos="3960"/>
              </w:tabs>
              <w:rPr>
                <w:szCs w:val="24"/>
              </w:rPr>
            </w:pPr>
          </w:p>
        </w:tc>
        <w:tc>
          <w:tcPr>
            <w:tcW w:w="708" w:type="dxa"/>
            <w:tcBorders>
              <w:top w:val="nil"/>
              <w:left w:val="nil"/>
              <w:bottom w:val="nil"/>
              <w:right w:val="nil"/>
            </w:tcBorders>
          </w:tcPr>
          <w:p w14:paraId="702DE260" w14:textId="77777777" w:rsidR="002C22B9" w:rsidRPr="002D4024" w:rsidRDefault="002C22B9" w:rsidP="002C22B9">
            <w:pPr>
              <w:tabs>
                <w:tab w:val="left" w:pos="360"/>
                <w:tab w:val="left" w:pos="3960"/>
              </w:tabs>
              <w:jc w:val="center"/>
              <w:rPr>
                <w:sz w:val="20"/>
              </w:rPr>
            </w:pPr>
            <w:r w:rsidRPr="002D4024">
              <w:rPr>
                <w:sz w:val="20"/>
              </w:rPr>
              <w:t>Nr.</w:t>
            </w:r>
          </w:p>
        </w:tc>
        <w:tc>
          <w:tcPr>
            <w:tcW w:w="2727" w:type="dxa"/>
            <w:tcBorders>
              <w:top w:val="nil"/>
              <w:left w:val="nil"/>
              <w:bottom w:val="single" w:sz="4" w:space="0" w:color="auto"/>
              <w:right w:val="nil"/>
            </w:tcBorders>
          </w:tcPr>
          <w:p w14:paraId="2B5262A1" w14:textId="1E163CBE" w:rsidR="002C22B9" w:rsidRPr="002D4024" w:rsidRDefault="002C22B9" w:rsidP="002C22B9">
            <w:pPr>
              <w:tabs>
                <w:tab w:val="left" w:pos="360"/>
                <w:tab w:val="left" w:pos="3960"/>
              </w:tabs>
              <w:rPr>
                <w:szCs w:val="24"/>
              </w:rPr>
            </w:pPr>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rsidRPr="002D4024" w14:paraId="784F8931" w14:textId="77777777" w:rsidTr="000C0DD4">
        <w:trPr>
          <w:jc w:val="right"/>
        </w:trPr>
        <w:tc>
          <w:tcPr>
            <w:tcW w:w="4644" w:type="dxa"/>
          </w:tcPr>
          <w:p w14:paraId="66CA41EA" w14:textId="53E5EBB8" w:rsidR="000C0DD4" w:rsidRPr="002D4024" w:rsidRDefault="00427A45" w:rsidP="000C0DD4">
            <w:pPr>
              <w:jc w:val="right"/>
              <w:rPr>
                <w:b/>
                <w:bCs/>
                <w:szCs w:val="24"/>
                <w:lang w:eastAsia="lv-LV"/>
              </w:rPr>
            </w:pPr>
            <w:bookmarkStart w:id="3" w:name="org_nos"/>
            <w:r w:rsidRPr="002D4024">
              <w:rPr>
                <w:b/>
                <w:bCs/>
                <w:szCs w:val="24"/>
                <w:lang w:eastAsia="lv-LV"/>
              </w:rPr>
              <w:t>Valsts kanceleja</w:t>
            </w:r>
            <w:r w:rsidR="00F95560" w:rsidRPr="002D4024">
              <w:rPr>
                <w:b/>
                <w:bCs/>
                <w:szCs w:val="24"/>
                <w:lang w:eastAsia="lv-LV"/>
              </w:rPr>
              <w:t>i</w:t>
            </w:r>
          </w:p>
        </w:tc>
      </w:tr>
      <w:bookmarkEnd w:id="3"/>
    </w:tbl>
    <w:p w14:paraId="1E4F1F2E" w14:textId="77777777" w:rsidR="001F53D9" w:rsidRPr="002D4024" w:rsidRDefault="001F53D9" w:rsidP="004F32A1">
      <w:pPr>
        <w:rPr>
          <w:spacing w:val="4"/>
          <w:sz w:val="20"/>
        </w:rPr>
      </w:pPr>
    </w:p>
    <w:tbl>
      <w:tblPr>
        <w:tblStyle w:val="TableGrid"/>
        <w:tblW w:w="0" w:type="auto"/>
        <w:tblLook w:val="04A0" w:firstRow="1" w:lastRow="0" w:firstColumn="1" w:lastColumn="0" w:noHBand="0" w:noVBand="1"/>
      </w:tblPr>
      <w:tblGrid>
        <w:gridCol w:w="4503"/>
      </w:tblGrid>
      <w:tr w:rsidR="000C0DD4" w:rsidRPr="002D4024" w14:paraId="31150E7D" w14:textId="77777777" w:rsidTr="000C0DD4">
        <w:tc>
          <w:tcPr>
            <w:tcW w:w="4503" w:type="dxa"/>
            <w:tcBorders>
              <w:top w:val="nil"/>
              <w:left w:val="nil"/>
              <w:bottom w:val="nil"/>
              <w:right w:val="nil"/>
            </w:tcBorders>
          </w:tcPr>
          <w:p w14:paraId="5C6BDD49" w14:textId="77777777" w:rsidR="000C0DD4" w:rsidRPr="002D4024" w:rsidRDefault="00427A45" w:rsidP="00C04DED">
            <w:pPr>
              <w:jc w:val="left"/>
              <w:rPr>
                <w:i/>
                <w:iCs/>
                <w:szCs w:val="24"/>
                <w:lang w:eastAsia="lv-LV"/>
              </w:rPr>
            </w:pPr>
            <w:r w:rsidRPr="002D4024">
              <w:rPr>
                <w:i/>
                <w:iCs/>
                <w:szCs w:val="24"/>
                <w:lang w:eastAsia="lv-LV"/>
              </w:rPr>
              <w:t>Par likumprojektu "Grozījumi Gada pārskatu un konsolidēto gada pārskatu likumā" (VSS-707)</w:t>
            </w:r>
          </w:p>
        </w:tc>
      </w:tr>
    </w:tbl>
    <w:p w14:paraId="0FD9AA81" w14:textId="77777777" w:rsidR="00E04F00" w:rsidRPr="002D4024" w:rsidRDefault="00E04F00" w:rsidP="00C04DED">
      <w:pPr>
        <w:jc w:val="left"/>
        <w:rPr>
          <w:szCs w:val="24"/>
        </w:rPr>
      </w:pPr>
    </w:p>
    <w:p w14:paraId="2C6EC937" w14:textId="77777777" w:rsidR="006D6710" w:rsidRPr="002D4024" w:rsidRDefault="006D6710" w:rsidP="007F3771">
      <w:pPr>
        <w:rPr>
          <w:szCs w:val="24"/>
        </w:rPr>
      </w:pPr>
    </w:p>
    <w:p w14:paraId="3F50463D" w14:textId="77777777" w:rsidR="00F95560" w:rsidRPr="002D4024" w:rsidRDefault="00F95560" w:rsidP="00F95560">
      <w:pPr>
        <w:ind w:firstLine="709"/>
        <w:rPr>
          <w:color w:val="000000"/>
          <w:sz w:val="26"/>
          <w:szCs w:val="26"/>
        </w:rPr>
      </w:pPr>
      <w:r w:rsidRPr="002D4024">
        <w:rPr>
          <w:sz w:val="26"/>
          <w:szCs w:val="26"/>
        </w:rPr>
        <w:t xml:space="preserve">Pamatojoties uz Ministru kabineta 2009. gada 7. aprīļa noteikumu Nr. 300 “Ministru kabineta kārtības rullis” 164.4. apakšpunktu, iesniedzu izskatīšanai Ministru kabineta sēdē likuma “Grozījumi Gada pārskatu un konsolidēto gada pārskatu likumā” </w:t>
      </w:r>
      <w:r w:rsidRPr="002D4024">
        <w:rPr>
          <w:bCs/>
          <w:sz w:val="26"/>
          <w:szCs w:val="26"/>
        </w:rPr>
        <w:t xml:space="preserve">projektu </w:t>
      </w:r>
      <w:r w:rsidRPr="002D4024">
        <w:rPr>
          <w:sz w:val="26"/>
          <w:szCs w:val="26"/>
        </w:rPr>
        <w:t>(turpmāk – likumprojekts)</w:t>
      </w:r>
      <w:r w:rsidRPr="002D4024">
        <w:rPr>
          <w:color w:val="000000"/>
          <w:sz w:val="26"/>
          <w:szCs w:val="26"/>
        </w:rPr>
        <w:t>.</w:t>
      </w:r>
    </w:p>
    <w:p w14:paraId="05A35526" w14:textId="77777777" w:rsidR="00F95560" w:rsidRPr="002D4024" w:rsidRDefault="00F95560" w:rsidP="00F95560">
      <w:pPr>
        <w:ind w:firstLine="709"/>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658"/>
      </w:tblGrid>
      <w:tr w:rsidR="00F95560" w:rsidRPr="002D4024" w14:paraId="78CFA522" w14:textId="77777777" w:rsidTr="00FD1FFA">
        <w:tc>
          <w:tcPr>
            <w:tcW w:w="2688" w:type="dxa"/>
          </w:tcPr>
          <w:p w14:paraId="6606551D" w14:textId="77777777" w:rsidR="00F95560" w:rsidRPr="002D4024" w:rsidRDefault="00F95560" w:rsidP="00FD1FFA">
            <w:pPr>
              <w:rPr>
                <w:color w:val="000000"/>
                <w:sz w:val="26"/>
                <w:szCs w:val="26"/>
              </w:rPr>
            </w:pPr>
            <w:r w:rsidRPr="002D4024">
              <w:rPr>
                <w:color w:val="000000"/>
                <w:sz w:val="26"/>
                <w:szCs w:val="26"/>
              </w:rPr>
              <w:t>Iesniegšanas pamatojums</w:t>
            </w:r>
          </w:p>
        </w:tc>
        <w:tc>
          <w:tcPr>
            <w:tcW w:w="6658" w:type="dxa"/>
          </w:tcPr>
          <w:p w14:paraId="1BFC3039" w14:textId="77777777" w:rsidR="00F95560" w:rsidRPr="002D4024" w:rsidRDefault="00F95560" w:rsidP="00FD1FFA">
            <w:pPr>
              <w:ind w:firstLine="403"/>
              <w:rPr>
                <w:color w:val="000000"/>
                <w:sz w:val="26"/>
                <w:szCs w:val="26"/>
              </w:rPr>
            </w:pPr>
            <w:r w:rsidRPr="002D4024">
              <w:rPr>
                <w:sz w:val="26"/>
                <w:szCs w:val="26"/>
              </w:rPr>
              <w:t xml:space="preserve">Likumprojekts ir </w:t>
            </w:r>
            <w:r w:rsidRPr="002D4024">
              <w:rPr>
                <w:color w:val="000000"/>
                <w:sz w:val="26"/>
                <w:szCs w:val="26"/>
              </w:rPr>
              <w:t xml:space="preserve">sagatavots atbilstoši Finanšu ministrijas     darba plāna uzdevumam 2021-DP-04-/167 (ar 11.01.2021. rīkojumu Nr.11 apstiprinātā Finanšu ministrijas darba plāna 2021.gadam 167.punkts): Lai uzlabotu grāmatvedībā noteiktās normas, saistībā ar pamatlīdzekļu pārvērtēšanu tuvinot tās Starptautisko grāmatvedības standartu (SGS) prasībām, kā arī, lai sabiedrībai, kuras pārvedami vērtspapīri ir bijuši iekļauti regulētajā tirgū un kura iepriekš ir sagatavojusi gada pārskatus atbilstoši  SGS, pārstājot būt par regulētā tirgus dalībnieci, tā varētu turpināt, neatkarīgi no tās lieluma, sagatavot gada pārskatus atbilstoši SGS, izstrādāt grozījumus Gada pārskatu un konsolidēto gada pārskatu likumā.  </w:t>
            </w:r>
          </w:p>
          <w:p w14:paraId="34D2C9C2" w14:textId="77777777" w:rsidR="00F95560" w:rsidRPr="002D4024" w:rsidRDefault="00F95560" w:rsidP="00FD1FFA">
            <w:pPr>
              <w:ind w:firstLine="403"/>
              <w:rPr>
                <w:color w:val="000000"/>
                <w:sz w:val="26"/>
                <w:szCs w:val="26"/>
              </w:rPr>
            </w:pPr>
            <w:r w:rsidRPr="002D4024">
              <w:rPr>
                <w:color w:val="000000"/>
                <w:sz w:val="26"/>
                <w:szCs w:val="26"/>
              </w:rPr>
              <w:t xml:space="preserve">Ministru prezidenta 2021.gada 12.maija rezolūcija Nr. 2021-1.1.1/28-28 - par nepieciešamiem uzlabojumiem pētniecības un attīstības statistikas datu iegūšanai, t.sk. izmantojot Valsts ieņēmumu dienesta Elektroniskās deklarēšanas sistēmas resursus. Grozījumu Gada pārskatu un konsolidēto pārskatu likumā, lai nodrošinātu, ka vidējo un lielo sabiedrību finanšu pārskatos tiek iekļauta detalizēta informācija par pētniecības un attīstības izmaksām, tādējādi radot iespēju iegūt detalizētākus pētniecības un attīstības statistikas datus, t.sk. izmantojot Valsts ieņēmumu dienesta Elektroniskās deklarēšanas sistēmas resursus, sagatavošana atbalstīta Latvijas Pētniecības un inovācijas stratēģiskā </w:t>
            </w:r>
            <w:r w:rsidRPr="002D4024">
              <w:rPr>
                <w:color w:val="000000"/>
                <w:sz w:val="26"/>
                <w:szCs w:val="26"/>
              </w:rPr>
              <w:lastRenderedPageBreak/>
              <w:t>padomes (izveidota ar Ministru prezidenta 2019. gada 10. jūnija rīkojumu Nr. 149) 2021. gada 30. jūnija sēdē.</w:t>
            </w:r>
          </w:p>
          <w:p w14:paraId="1592E328" w14:textId="77777777" w:rsidR="00F95560" w:rsidRPr="002D4024" w:rsidRDefault="00F95560" w:rsidP="00FD1FFA">
            <w:pPr>
              <w:ind w:firstLine="403"/>
              <w:rPr>
                <w:bCs/>
                <w:sz w:val="26"/>
                <w:szCs w:val="26"/>
              </w:rPr>
            </w:pPr>
            <w:r w:rsidRPr="002D4024">
              <w:rPr>
                <w:bCs/>
                <w:sz w:val="26"/>
                <w:szCs w:val="26"/>
              </w:rPr>
              <w:t>Valsts kontroles revīzijā “Par Latvijas Republikas 2019.gada pārskatu par valsts budžeta izpildi un par pašvaldību budžetiem” sniegtais ieteikums “Finanšu ministrijai sadarbībā ar Ekonomikas ministriju un Būvniecības valsts kontroles biroju pilnveidot būvkomersantu reģistrēšanas nodevas samaksas kontroli, lai uzraugošā un valsts nodevu administrējošā iestāde spētu pārliecināties, ka visi būvkomersanti reģistrējas, sniedz patiesu informāciju un nodevu samaksā atbilstoši normatīvajam aktam”.</w:t>
            </w:r>
          </w:p>
          <w:p w14:paraId="3F213A8A" w14:textId="77777777" w:rsidR="00F95560" w:rsidRPr="002D4024" w:rsidRDefault="00F95560" w:rsidP="00FD1FFA">
            <w:pPr>
              <w:ind w:firstLine="403"/>
              <w:rPr>
                <w:sz w:val="26"/>
                <w:szCs w:val="26"/>
              </w:rPr>
            </w:pPr>
            <w:r w:rsidRPr="002D4024">
              <w:rPr>
                <w:sz w:val="26"/>
                <w:szCs w:val="26"/>
              </w:rPr>
              <w:t>2021. gada 6. jūlijā tika pieņemts likums “Grozījumi Komerclikumā” (Saeimas reģistrācijas Nr. 1079/Lp13), ar kuru nacionālajā regulējumā tika ieviesta Direktīva 2019/1151. Ar grozījumiem Komerclikumā tika paredzēts, ka turpmāk Uzņēmumu reģistrs veiks publikācijas Uzņēmumu reģistra tīmekļvietnē (www.info.ur.gov.lv), nevis oficiālajā izdevumā “Latvijas Vēstnesis”. Ņemot vērā, ka komercreģistra dokumentu publicēšana tiks  nodrošināta Uzņēmumu reģistra tīmekļvietnē, lai salāgotu nacionālo regulējumu, arī Gada pārskatu un konsolidēto gada pārskatu likumā ir nepieciešams veikt grozījumus.</w:t>
            </w:r>
          </w:p>
        </w:tc>
      </w:tr>
      <w:tr w:rsidR="00F95560" w:rsidRPr="002D4024" w14:paraId="622E538B" w14:textId="77777777" w:rsidTr="00FD1FFA">
        <w:tc>
          <w:tcPr>
            <w:tcW w:w="2688" w:type="dxa"/>
          </w:tcPr>
          <w:p w14:paraId="50FF03DC" w14:textId="77777777" w:rsidR="00F95560" w:rsidRPr="002D4024" w:rsidRDefault="00F95560" w:rsidP="00FD1FFA">
            <w:pPr>
              <w:rPr>
                <w:sz w:val="26"/>
                <w:szCs w:val="26"/>
              </w:rPr>
            </w:pPr>
            <w:r w:rsidRPr="002D4024">
              <w:rPr>
                <w:sz w:val="26"/>
                <w:szCs w:val="26"/>
                <w:lang w:eastAsia="lv-LV"/>
              </w:rPr>
              <w:lastRenderedPageBreak/>
              <w:t>Valsts sekretāru sanāksmes datums un numurs</w:t>
            </w:r>
          </w:p>
        </w:tc>
        <w:tc>
          <w:tcPr>
            <w:tcW w:w="6658" w:type="dxa"/>
          </w:tcPr>
          <w:p w14:paraId="6243E829" w14:textId="77777777" w:rsidR="00F95560" w:rsidRPr="002D4024" w:rsidRDefault="00F95560" w:rsidP="00FD1FFA">
            <w:pPr>
              <w:ind w:left="34" w:firstLine="279"/>
              <w:rPr>
                <w:sz w:val="26"/>
                <w:szCs w:val="26"/>
              </w:rPr>
            </w:pPr>
            <w:r w:rsidRPr="002D4024">
              <w:rPr>
                <w:sz w:val="26"/>
                <w:szCs w:val="26"/>
              </w:rPr>
              <w:t>Likumprojekts izsludināts Valsts sekretāru 2021.gada 12.augusta sanāksmē (prot. Nr.28, 8.§), VSS-707.</w:t>
            </w:r>
          </w:p>
        </w:tc>
      </w:tr>
      <w:tr w:rsidR="00F95560" w:rsidRPr="002D4024" w14:paraId="7F9C13C4" w14:textId="77777777" w:rsidTr="00FD1FFA">
        <w:tc>
          <w:tcPr>
            <w:tcW w:w="2688" w:type="dxa"/>
          </w:tcPr>
          <w:p w14:paraId="2647F5DB" w14:textId="77777777" w:rsidR="00F95560" w:rsidRPr="002D4024" w:rsidRDefault="00F95560" w:rsidP="00FD1FFA">
            <w:pPr>
              <w:rPr>
                <w:sz w:val="26"/>
                <w:szCs w:val="26"/>
              </w:rPr>
            </w:pPr>
            <w:r w:rsidRPr="002D4024">
              <w:rPr>
                <w:sz w:val="26"/>
                <w:szCs w:val="26"/>
                <w:lang w:eastAsia="lv-LV"/>
              </w:rPr>
              <w:t>Informācija par saskaņojumiem</w:t>
            </w:r>
          </w:p>
        </w:tc>
        <w:tc>
          <w:tcPr>
            <w:tcW w:w="6658" w:type="dxa"/>
          </w:tcPr>
          <w:p w14:paraId="31AF9DCA" w14:textId="77777777" w:rsidR="00F95560" w:rsidRPr="002D4024" w:rsidRDefault="00F95560" w:rsidP="00FD1FFA">
            <w:pPr>
              <w:ind w:firstLine="403"/>
              <w:rPr>
                <w:sz w:val="26"/>
                <w:szCs w:val="26"/>
              </w:rPr>
            </w:pPr>
            <w:r w:rsidRPr="002D4024">
              <w:rPr>
                <w:sz w:val="26"/>
                <w:szCs w:val="26"/>
              </w:rPr>
              <w:t xml:space="preserve">Atbilstoši Valsts sekretāru 2021.gada 12.augusta sanāksmes protokola Nr.28, 8.§ likumprojekts un tā sākotnējās ietekmes novērtējuma ziņojums (anotācija) bija jāsaskaņo ar Tieslietu ministriju, Ekonomikas ministriju, Veselības ministriju, Zemkopības ministriju, Latvijas Darba devēju konfederāciju un Latvijas Brīvo arodbiedrību savienību. </w:t>
            </w:r>
          </w:p>
          <w:p w14:paraId="39450FF2" w14:textId="77777777" w:rsidR="00F95560" w:rsidRPr="002D4024" w:rsidRDefault="00F95560" w:rsidP="00FD1FFA">
            <w:pPr>
              <w:ind w:firstLine="403"/>
              <w:rPr>
                <w:sz w:val="26"/>
                <w:szCs w:val="26"/>
              </w:rPr>
            </w:pPr>
            <w:r w:rsidRPr="002D4024">
              <w:rPr>
                <w:sz w:val="26"/>
                <w:szCs w:val="26"/>
              </w:rPr>
              <w:t>Tieslietu ministrija atbalstīja Valsts sekretāru sanāksmē izsludinātā likumprojekta un tā sākotnējās ietekmes novērtējuma ziņojuma (anotācijas) tālāko virzību bez iebildumiem, tomēr sniedza priekšlikumus to papildināšanai, lai saskaņotu Gada pārskatu un konsolidēto gada pārskatu likumā un Komerclikumā (2021. gada 6. jūlijā Saeimā pieņemto grozījumu redakcijā) ietvertās publikācijas prasības.</w:t>
            </w:r>
          </w:p>
          <w:p w14:paraId="29818E48" w14:textId="77777777" w:rsidR="00F95560" w:rsidRPr="002D4024" w:rsidRDefault="00F95560" w:rsidP="00FD1FFA">
            <w:pPr>
              <w:ind w:firstLine="403"/>
              <w:rPr>
                <w:iCs/>
                <w:sz w:val="26"/>
                <w:szCs w:val="26"/>
              </w:rPr>
            </w:pPr>
            <w:r w:rsidRPr="002D4024">
              <w:rPr>
                <w:sz w:val="26"/>
                <w:szCs w:val="26"/>
              </w:rPr>
              <w:t>Ekonomikas ministrija,</w:t>
            </w:r>
            <w:r w:rsidRPr="002D4024">
              <w:rPr>
                <w:i/>
                <w:sz w:val="26"/>
                <w:szCs w:val="26"/>
              </w:rPr>
              <w:t xml:space="preserve"> </w:t>
            </w:r>
            <w:r w:rsidRPr="002D4024">
              <w:rPr>
                <w:sz w:val="26"/>
                <w:szCs w:val="26"/>
              </w:rPr>
              <w:t>Zemkopības ministrija, Latvijas Darba devēju konfederācija un Latvijas Brīvo arodbiedrību savienība</w:t>
            </w:r>
            <w:r w:rsidRPr="002D4024">
              <w:rPr>
                <w:iCs/>
                <w:sz w:val="26"/>
                <w:szCs w:val="26"/>
              </w:rPr>
              <w:t xml:space="preserve"> atbalstīja Valsts sekretāru sanāksmē izsludinātā likumprojekta un tā sākotnējās ietekmes novērtējuma ziņojuma (anotācijas) tālāko virzību bez iebildumiem un priekšlikumiem.</w:t>
            </w:r>
          </w:p>
          <w:p w14:paraId="6A3C320D" w14:textId="77777777" w:rsidR="00F95560" w:rsidRPr="002D4024" w:rsidRDefault="00F95560" w:rsidP="00FD1FFA">
            <w:pPr>
              <w:ind w:firstLine="403"/>
              <w:rPr>
                <w:iCs/>
                <w:sz w:val="26"/>
                <w:szCs w:val="26"/>
              </w:rPr>
            </w:pPr>
            <w:r w:rsidRPr="002D4024">
              <w:rPr>
                <w:iCs/>
                <w:sz w:val="26"/>
                <w:szCs w:val="26"/>
              </w:rPr>
              <w:t>Veselības ministrija atzinumu nesniedza.</w:t>
            </w:r>
          </w:p>
          <w:p w14:paraId="22590B05" w14:textId="77777777" w:rsidR="00F95560" w:rsidRPr="002D4024" w:rsidRDefault="00F95560" w:rsidP="00FD1FFA">
            <w:pPr>
              <w:ind w:firstLine="403"/>
              <w:rPr>
                <w:iCs/>
                <w:sz w:val="26"/>
                <w:szCs w:val="26"/>
              </w:rPr>
            </w:pPr>
            <w:r w:rsidRPr="002D4024">
              <w:rPr>
                <w:iCs/>
                <w:sz w:val="26"/>
                <w:szCs w:val="26"/>
              </w:rPr>
              <w:t>Likumprojekts tika nosūtīts viedokļa sniegšanai Latvijas Zvērinātu revidentu asociācijai un Latvijas Republikas Grāmatvežu asociācijai.</w:t>
            </w:r>
            <w:r w:rsidRPr="002D4024">
              <w:t xml:space="preserve"> </w:t>
            </w:r>
            <w:r w:rsidRPr="002D4024">
              <w:rPr>
                <w:iCs/>
                <w:sz w:val="26"/>
                <w:szCs w:val="26"/>
              </w:rPr>
              <w:t xml:space="preserve">Abas minētās asociācijas informēja, </w:t>
            </w:r>
            <w:r w:rsidRPr="002D4024">
              <w:rPr>
                <w:iCs/>
                <w:sz w:val="26"/>
                <w:szCs w:val="26"/>
              </w:rPr>
              <w:lastRenderedPageBreak/>
              <w:t>ka attiecībā uz likumprojektu iebildumu vai papildinājumu nav.</w:t>
            </w:r>
          </w:p>
          <w:p w14:paraId="4D0880AE" w14:textId="77777777" w:rsidR="00F95560" w:rsidRPr="002D4024" w:rsidRDefault="00F95560" w:rsidP="00FD1FFA">
            <w:pPr>
              <w:ind w:firstLine="403"/>
              <w:rPr>
                <w:iCs/>
                <w:sz w:val="26"/>
                <w:szCs w:val="26"/>
              </w:rPr>
            </w:pPr>
            <w:r w:rsidRPr="002D4024">
              <w:rPr>
                <w:iCs/>
                <w:sz w:val="26"/>
                <w:szCs w:val="26"/>
              </w:rPr>
              <w:t>Sabiedrības līdzdalības periodā tika saņemts priekšlikums no Latvijas Republikas Ārpakalpojumu grāmatvežu asociācijas par papildu pienākumu noteikšanu likumā personām, kuras sagatavo un paraksta gada pārskatu vai konsolidēto gada pārskatu, attiecībā uz šo pārskatu iesniegšanu Valsts ieņēmumu dienesta Elektroniskajā deklarēšanas sistēmā. Minētais priekšlikums tika izvērtēts darba grupas, kas izveidota ar Finanšu ministrijas 2018.gada 3.maija rīkojumu Nr.150 jauna grāmatvedības likuma projekta un uz jaunā likuma pamata  izdodamo Ministru kabineta noteikumu projektu izstrādei (turpmāk – darba grupa), 2021.gada 5.augusta sēdē, kurā piedalījās arī Valsts ieņēmumu dienesta pārstāvji, bet privāto sektoru pārstāvēja Latvijas Zvērinātu revidentu asociācijas, Latvijas Republikas Grāmatvežu asociācijas, Latvijas Republikas Ārpakalpojumu grāmatvežu asociācijas un Latvijas tirdzniecības un rūpniecības kameras pārstāvji. Darba grupa minēto priekšlikumu neatbalstīja, jo priekšlikumā minētais attiecas uz katra uzņēmuma (arī grāmatvedības ārpakalpojuma sniedzēja) iekšējās kontroles jomu, kā arī grāmatveža ētiku.</w:t>
            </w:r>
          </w:p>
          <w:p w14:paraId="5A3D6016" w14:textId="77777777" w:rsidR="00F95560" w:rsidRPr="002D4024" w:rsidRDefault="00F95560" w:rsidP="00FD1FFA">
            <w:pPr>
              <w:ind w:firstLine="403"/>
              <w:rPr>
                <w:iCs/>
                <w:sz w:val="26"/>
                <w:szCs w:val="26"/>
              </w:rPr>
            </w:pPr>
            <w:r w:rsidRPr="002D4024">
              <w:rPr>
                <w:sz w:val="26"/>
                <w:szCs w:val="26"/>
              </w:rPr>
              <w:t>Likumprojekta 3.pantā paredzētais grozījums par likuma 53.panta pirmās daļas papildināšanu ar 17.punktu, lai noteiktu prasību finanšu pārskata pielikumā sniegt detalizētu informāciju par pētniecības un attīstības izmaksām, pieņemts zināšanai un atbalstīts Latvijas Pētniecības un inovācijas stratēģiskās padomes (izveidota</w:t>
            </w:r>
            <w:r w:rsidRPr="002D4024">
              <w:t xml:space="preserve"> </w:t>
            </w:r>
            <w:r w:rsidRPr="002D4024">
              <w:rPr>
                <w:sz w:val="26"/>
                <w:szCs w:val="26"/>
              </w:rPr>
              <w:t>saskaņā ar Ministru kabineta 2014. gada 16. septembra noteikumu Nr. 553 “Latvijas Pētniecības un inovācijas stratēģiskās padomes nolikums” 7. punktu un Ministru prezidenta 2019. gada 10. jūnija rīkojumu Nr. 149)   2021. gada 30. jūnija sēdē.</w:t>
            </w:r>
          </w:p>
        </w:tc>
      </w:tr>
      <w:tr w:rsidR="00F95560" w:rsidRPr="002D4024" w14:paraId="68C90679" w14:textId="77777777" w:rsidTr="00FD1FFA">
        <w:tc>
          <w:tcPr>
            <w:tcW w:w="2688" w:type="dxa"/>
          </w:tcPr>
          <w:p w14:paraId="21AF3600" w14:textId="77777777" w:rsidR="00F95560" w:rsidRPr="002D4024" w:rsidRDefault="00F95560" w:rsidP="00FD1FFA">
            <w:pPr>
              <w:rPr>
                <w:sz w:val="26"/>
                <w:szCs w:val="26"/>
              </w:rPr>
            </w:pPr>
            <w:r w:rsidRPr="002D4024">
              <w:rPr>
                <w:sz w:val="26"/>
                <w:szCs w:val="26"/>
                <w:lang w:eastAsia="lv-LV"/>
              </w:rPr>
              <w:lastRenderedPageBreak/>
              <w:t>Informācija par saskaņojumu ar Eiropas Savienības institūcijām</w:t>
            </w:r>
          </w:p>
        </w:tc>
        <w:tc>
          <w:tcPr>
            <w:tcW w:w="6658" w:type="dxa"/>
          </w:tcPr>
          <w:p w14:paraId="59B751C6" w14:textId="77777777" w:rsidR="00F95560" w:rsidRPr="002D4024" w:rsidRDefault="00F95560" w:rsidP="00FD1FFA">
            <w:pPr>
              <w:ind w:firstLine="403"/>
              <w:rPr>
                <w:sz w:val="26"/>
                <w:szCs w:val="26"/>
              </w:rPr>
            </w:pPr>
            <w:r w:rsidRPr="002D4024">
              <w:rPr>
                <w:sz w:val="26"/>
                <w:szCs w:val="26"/>
              </w:rPr>
              <w:t>Nav attiecināms.</w:t>
            </w:r>
          </w:p>
        </w:tc>
      </w:tr>
      <w:tr w:rsidR="00F95560" w:rsidRPr="002D4024" w14:paraId="178946C8" w14:textId="77777777" w:rsidTr="00FD1FFA">
        <w:tc>
          <w:tcPr>
            <w:tcW w:w="2688" w:type="dxa"/>
          </w:tcPr>
          <w:p w14:paraId="030A3F3B" w14:textId="77777777" w:rsidR="00F95560" w:rsidRPr="002D4024" w:rsidRDefault="00F95560" w:rsidP="00FD1FFA">
            <w:pPr>
              <w:rPr>
                <w:sz w:val="26"/>
                <w:szCs w:val="26"/>
                <w:lang w:eastAsia="lv-LV"/>
              </w:rPr>
            </w:pPr>
            <w:r w:rsidRPr="002D4024">
              <w:rPr>
                <w:sz w:val="26"/>
                <w:szCs w:val="26"/>
                <w:lang w:eastAsia="lv-LV"/>
              </w:rPr>
              <w:t>Politikas joma</w:t>
            </w:r>
          </w:p>
        </w:tc>
        <w:tc>
          <w:tcPr>
            <w:tcW w:w="6658" w:type="dxa"/>
          </w:tcPr>
          <w:p w14:paraId="3B2863CB" w14:textId="77777777" w:rsidR="00F95560" w:rsidRPr="002D4024" w:rsidRDefault="00F95560" w:rsidP="00FD1FFA">
            <w:pPr>
              <w:ind w:firstLine="403"/>
              <w:rPr>
                <w:sz w:val="26"/>
                <w:szCs w:val="26"/>
              </w:rPr>
            </w:pPr>
            <w:r w:rsidRPr="002D4024">
              <w:rPr>
                <w:sz w:val="26"/>
                <w:szCs w:val="26"/>
              </w:rPr>
              <w:t>Budžeta un finanšu politika (2.4. Grāmatvedība).</w:t>
            </w:r>
          </w:p>
        </w:tc>
      </w:tr>
      <w:tr w:rsidR="00F95560" w:rsidRPr="002D4024" w14:paraId="79CE3289" w14:textId="77777777" w:rsidTr="00FD1FFA">
        <w:tc>
          <w:tcPr>
            <w:tcW w:w="2688" w:type="dxa"/>
          </w:tcPr>
          <w:p w14:paraId="086D1D95" w14:textId="77777777" w:rsidR="00F95560" w:rsidRPr="002D4024" w:rsidRDefault="00F95560" w:rsidP="00FD1FFA">
            <w:pPr>
              <w:rPr>
                <w:sz w:val="26"/>
                <w:szCs w:val="26"/>
                <w:lang w:eastAsia="lv-LV"/>
              </w:rPr>
            </w:pPr>
            <w:r w:rsidRPr="002D4024">
              <w:rPr>
                <w:sz w:val="26"/>
                <w:szCs w:val="26"/>
                <w:lang w:eastAsia="lv-LV"/>
              </w:rPr>
              <w:t>Atbildīgā amatpersona</w:t>
            </w:r>
          </w:p>
        </w:tc>
        <w:tc>
          <w:tcPr>
            <w:tcW w:w="6658" w:type="dxa"/>
          </w:tcPr>
          <w:p w14:paraId="5D149613" w14:textId="77777777" w:rsidR="00F95560" w:rsidRPr="002D4024" w:rsidRDefault="00F95560" w:rsidP="00FD1FFA">
            <w:pPr>
              <w:ind w:firstLine="403"/>
              <w:rPr>
                <w:sz w:val="26"/>
                <w:szCs w:val="26"/>
              </w:rPr>
            </w:pPr>
            <w:r w:rsidRPr="002D4024">
              <w:rPr>
                <w:sz w:val="26"/>
                <w:szCs w:val="26"/>
              </w:rPr>
              <w:t>Grāmatvedības un revīzijas politikas departamenta direktore Daina Robežniece.</w:t>
            </w:r>
          </w:p>
        </w:tc>
      </w:tr>
      <w:tr w:rsidR="00F95560" w:rsidRPr="002D4024" w14:paraId="49AA7053" w14:textId="77777777" w:rsidTr="00FD1FFA">
        <w:tc>
          <w:tcPr>
            <w:tcW w:w="2688" w:type="dxa"/>
          </w:tcPr>
          <w:p w14:paraId="7675B797" w14:textId="77777777" w:rsidR="00F95560" w:rsidRPr="002D4024" w:rsidRDefault="00F95560" w:rsidP="00FD1FFA">
            <w:pPr>
              <w:rPr>
                <w:sz w:val="26"/>
                <w:szCs w:val="26"/>
                <w:lang w:eastAsia="lv-LV"/>
              </w:rPr>
            </w:pPr>
            <w:r w:rsidRPr="002D4024">
              <w:rPr>
                <w:sz w:val="26"/>
                <w:szCs w:val="26"/>
                <w:lang w:eastAsia="lv-LV"/>
              </w:rPr>
              <w:t>Uzaicināmās personas</w:t>
            </w:r>
          </w:p>
        </w:tc>
        <w:tc>
          <w:tcPr>
            <w:tcW w:w="6658" w:type="dxa"/>
          </w:tcPr>
          <w:p w14:paraId="1D110595" w14:textId="77777777" w:rsidR="00F95560" w:rsidRPr="002D4024" w:rsidRDefault="00F95560" w:rsidP="00FD1FFA">
            <w:pPr>
              <w:ind w:firstLine="403"/>
              <w:rPr>
                <w:sz w:val="26"/>
                <w:szCs w:val="26"/>
              </w:rPr>
            </w:pPr>
            <w:r w:rsidRPr="002D4024">
              <w:rPr>
                <w:sz w:val="26"/>
                <w:szCs w:val="26"/>
              </w:rPr>
              <w:t>Grāmatvedības un revīzijas politikas departamenta direktore Daina Robežniece.</w:t>
            </w:r>
          </w:p>
          <w:p w14:paraId="310FE3FF" w14:textId="77777777" w:rsidR="00F95560" w:rsidRPr="002D4024" w:rsidRDefault="00F95560" w:rsidP="00FD1FFA">
            <w:pPr>
              <w:ind w:firstLine="403"/>
              <w:rPr>
                <w:sz w:val="26"/>
                <w:szCs w:val="26"/>
              </w:rPr>
            </w:pPr>
            <w:r w:rsidRPr="002D4024">
              <w:rPr>
                <w:sz w:val="26"/>
                <w:szCs w:val="26"/>
              </w:rPr>
              <w:t>Grāmatvedības politikas un metodoloģijas nodaļas vadītāja Arta Priede.</w:t>
            </w:r>
          </w:p>
        </w:tc>
      </w:tr>
      <w:tr w:rsidR="00F95560" w:rsidRPr="002D4024" w14:paraId="66CA6253" w14:textId="77777777" w:rsidTr="00FD1FFA">
        <w:tc>
          <w:tcPr>
            <w:tcW w:w="2688" w:type="dxa"/>
          </w:tcPr>
          <w:p w14:paraId="2AA3ECF5" w14:textId="77777777" w:rsidR="00F95560" w:rsidRPr="002D4024" w:rsidRDefault="00F95560" w:rsidP="00FD1FFA">
            <w:pPr>
              <w:rPr>
                <w:sz w:val="26"/>
                <w:szCs w:val="26"/>
                <w:lang w:eastAsia="lv-LV"/>
              </w:rPr>
            </w:pPr>
            <w:r w:rsidRPr="002D4024">
              <w:rPr>
                <w:sz w:val="26"/>
                <w:szCs w:val="26"/>
                <w:lang w:eastAsia="lv-LV"/>
              </w:rPr>
              <w:t>Projekta ierobežotas pieejamības statuss</w:t>
            </w:r>
          </w:p>
        </w:tc>
        <w:tc>
          <w:tcPr>
            <w:tcW w:w="6658" w:type="dxa"/>
          </w:tcPr>
          <w:p w14:paraId="6DC62D72" w14:textId="77777777" w:rsidR="00F95560" w:rsidRPr="002D4024" w:rsidRDefault="00F95560" w:rsidP="00FD1FFA">
            <w:pPr>
              <w:shd w:val="clear" w:color="auto" w:fill="FFFFFF"/>
              <w:ind w:firstLine="403"/>
              <w:rPr>
                <w:sz w:val="26"/>
                <w:szCs w:val="26"/>
              </w:rPr>
            </w:pPr>
            <w:r w:rsidRPr="002D4024">
              <w:rPr>
                <w:sz w:val="26"/>
                <w:szCs w:val="26"/>
              </w:rPr>
              <w:t>Nav ierobežotas lietošanas statuss.</w:t>
            </w:r>
          </w:p>
        </w:tc>
      </w:tr>
      <w:tr w:rsidR="00F95560" w:rsidRPr="002D4024" w14:paraId="6429DD79" w14:textId="77777777" w:rsidTr="00FD1FFA">
        <w:tc>
          <w:tcPr>
            <w:tcW w:w="2688" w:type="dxa"/>
          </w:tcPr>
          <w:p w14:paraId="7D2B0A5A" w14:textId="77777777" w:rsidR="00F95560" w:rsidRPr="002D4024" w:rsidRDefault="00F95560" w:rsidP="00FD1FFA">
            <w:pPr>
              <w:rPr>
                <w:sz w:val="26"/>
                <w:szCs w:val="26"/>
                <w:lang w:eastAsia="lv-LV"/>
              </w:rPr>
            </w:pPr>
            <w:r w:rsidRPr="002D4024">
              <w:rPr>
                <w:sz w:val="26"/>
                <w:szCs w:val="26"/>
                <w:lang w:eastAsia="lv-LV"/>
              </w:rPr>
              <w:t>Cita informācija</w:t>
            </w:r>
          </w:p>
        </w:tc>
        <w:tc>
          <w:tcPr>
            <w:tcW w:w="6658" w:type="dxa"/>
          </w:tcPr>
          <w:p w14:paraId="773916BA" w14:textId="77777777" w:rsidR="00F95560" w:rsidRPr="002D4024" w:rsidRDefault="00F95560" w:rsidP="00FD1FFA">
            <w:pPr>
              <w:ind w:firstLine="403"/>
              <w:rPr>
                <w:sz w:val="26"/>
                <w:szCs w:val="26"/>
              </w:rPr>
            </w:pPr>
            <w:r w:rsidRPr="002D4024">
              <w:rPr>
                <w:sz w:val="26"/>
                <w:szCs w:val="26"/>
              </w:rPr>
              <w:t>Nav.</w:t>
            </w:r>
          </w:p>
        </w:tc>
      </w:tr>
      <w:tr w:rsidR="00F95560" w:rsidRPr="002D4024" w14:paraId="7388698B" w14:textId="77777777" w:rsidTr="00FD1FFA">
        <w:tc>
          <w:tcPr>
            <w:tcW w:w="2688" w:type="dxa"/>
          </w:tcPr>
          <w:p w14:paraId="35224732" w14:textId="77777777" w:rsidR="00F95560" w:rsidRPr="002D4024" w:rsidRDefault="00F95560" w:rsidP="00FD1FFA">
            <w:pPr>
              <w:rPr>
                <w:sz w:val="26"/>
                <w:szCs w:val="26"/>
                <w:lang w:eastAsia="lv-LV"/>
              </w:rPr>
            </w:pPr>
            <w:r w:rsidRPr="002D4024">
              <w:rPr>
                <w:sz w:val="26"/>
                <w:szCs w:val="26"/>
                <w:lang w:eastAsia="lv-LV"/>
              </w:rPr>
              <w:t>Lēmuma pieņemšanas galīgais termiņš</w:t>
            </w:r>
          </w:p>
        </w:tc>
        <w:tc>
          <w:tcPr>
            <w:tcW w:w="6658" w:type="dxa"/>
          </w:tcPr>
          <w:p w14:paraId="7F1213A4" w14:textId="77777777" w:rsidR="00F95560" w:rsidRPr="002D4024" w:rsidDel="0098313B" w:rsidRDefault="00F95560" w:rsidP="00FD1FFA">
            <w:pPr>
              <w:ind w:firstLine="403"/>
              <w:rPr>
                <w:sz w:val="26"/>
                <w:szCs w:val="26"/>
              </w:rPr>
            </w:pPr>
            <w:r w:rsidRPr="002D4024">
              <w:rPr>
                <w:sz w:val="26"/>
                <w:szCs w:val="26"/>
              </w:rPr>
              <w:t>Likumprojekts</w:t>
            </w:r>
            <w:r w:rsidRPr="002D4024">
              <w:rPr>
                <w:sz w:val="28"/>
                <w:szCs w:val="28"/>
              </w:rPr>
              <w:t xml:space="preserve"> virzāms kopā ar likumprojektu "Par vidēja termiņa budžeta ietvaru 2022., 2023. un 2024. gadam" un likumprojektu "Par valsts budžetu 2022. gadam".</w:t>
            </w:r>
          </w:p>
        </w:tc>
      </w:tr>
    </w:tbl>
    <w:p w14:paraId="5345FA26" w14:textId="77777777" w:rsidR="00F95560" w:rsidRPr="002D4024" w:rsidRDefault="00F95560" w:rsidP="00F95560">
      <w:pPr>
        <w:ind w:left="1560" w:hanging="840"/>
        <w:rPr>
          <w:sz w:val="26"/>
          <w:szCs w:val="26"/>
        </w:rPr>
      </w:pPr>
    </w:p>
    <w:p w14:paraId="3E9A5900" w14:textId="77777777" w:rsidR="00F95560" w:rsidRPr="002D4024" w:rsidRDefault="00F95560" w:rsidP="00F95560">
      <w:pPr>
        <w:rPr>
          <w:sz w:val="26"/>
          <w:szCs w:val="26"/>
        </w:rPr>
      </w:pPr>
      <w:r w:rsidRPr="002D4024">
        <w:rPr>
          <w:sz w:val="26"/>
          <w:szCs w:val="26"/>
        </w:rPr>
        <w:t>Pielikumā:</w:t>
      </w:r>
      <w:r w:rsidRPr="002D4024">
        <w:rPr>
          <w:sz w:val="26"/>
          <w:szCs w:val="26"/>
        </w:rPr>
        <w:tab/>
      </w:r>
    </w:p>
    <w:p w14:paraId="42551CA2" w14:textId="77777777" w:rsidR="00F95560" w:rsidRPr="002D4024" w:rsidRDefault="00F95560" w:rsidP="00F95560">
      <w:pPr>
        <w:ind w:left="1560" w:hanging="840"/>
        <w:rPr>
          <w:sz w:val="26"/>
          <w:szCs w:val="26"/>
        </w:rPr>
      </w:pPr>
    </w:p>
    <w:p w14:paraId="56383F34" w14:textId="77777777" w:rsidR="00F95560" w:rsidRPr="002D4024" w:rsidRDefault="00F95560" w:rsidP="00F95560">
      <w:pPr>
        <w:pStyle w:val="Footer"/>
        <w:numPr>
          <w:ilvl w:val="0"/>
          <w:numId w:val="1"/>
        </w:numPr>
        <w:ind w:right="113"/>
        <w:rPr>
          <w:sz w:val="26"/>
          <w:szCs w:val="26"/>
        </w:rPr>
      </w:pPr>
      <w:r w:rsidRPr="002D4024">
        <w:rPr>
          <w:sz w:val="26"/>
          <w:szCs w:val="26"/>
        </w:rPr>
        <w:t xml:space="preserve">Likumprojekts uz 2 lpp. </w:t>
      </w:r>
      <w:r w:rsidRPr="002D4024">
        <w:rPr>
          <w:i/>
          <w:sz w:val="26"/>
          <w:szCs w:val="26"/>
        </w:rPr>
        <w:t>(datne: FMlik_</w:t>
      </w:r>
      <w:bookmarkStart w:id="4" w:name="_Hlk77151931"/>
      <w:r w:rsidRPr="002D4024">
        <w:rPr>
          <w:i/>
          <w:sz w:val="26"/>
          <w:szCs w:val="26"/>
        </w:rPr>
        <w:t>010921_</w:t>
      </w:r>
      <w:bookmarkEnd w:id="4"/>
      <w:r w:rsidRPr="002D4024">
        <w:rPr>
          <w:i/>
          <w:sz w:val="26"/>
          <w:szCs w:val="26"/>
        </w:rPr>
        <w:t>grozGPKGPL)</w:t>
      </w:r>
      <w:r w:rsidRPr="002D4024">
        <w:rPr>
          <w:sz w:val="26"/>
          <w:szCs w:val="26"/>
        </w:rPr>
        <w:t>;</w:t>
      </w:r>
    </w:p>
    <w:p w14:paraId="46DD8B40" w14:textId="77777777" w:rsidR="00F95560" w:rsidRPr="002D4024" w:rsidRDefault="00F95560" w:rsidP="00F95560">
      <w:pPr>
        <w:pStyle w:val="Footer"/>
        <w:numPr>
          <w:ilvl w:val="0"/>
          <w:numId w:val="1"/>
        </w:numPr>
        <w:ind w:right="113"/>
        <w:rPr>
          <w:sz w:val="26"/>
          <w:szCs w:val="26"/>
        </w:rPr>
      </w:pPr>
      <w:r w:rsidRPr="002D4024">
        <w:rPr>
          <w:sz w:val="26"/>
          <w:szCs w:val="26"/>
        </w:rPr>
        <w:t xml:space="preserve">Likumprojekta sākotnējās ietekmes novērtējuma ziņojums (anotācija) uz 15 lpp. </w:t>
      </w:r>
      <w:r w:rsidRPr="002D4024">
        <w:rPr>
          <w:i/>
          <w:sz w:val="26"/>
          <w:szCs w:val="26"/>
        </w:rPr>
        <w:t>(datne: FManot__010921_grozGPKGPL (2))</w:t>
      </w:r>
      <w:r w:rsidRPr="002D4024">
        <w:rPr>
          <w:sz w:val="26"/>
          <w:szCs w:val="26"/>
        </w:rPr>
        <w:t>;</w:t>
      </w:r>
    </w:p>
    <w:p w14:paraId="3C33FC87" w14:textId="77777777" w:rsidR="00F95560" w:rsidRPr="002D4024" w:rsidRDefault="00F95560" w:rsidP="00F95560">
      <w:pPr>
        <w:pStyle w:val="ListParagraph"/>
        <w:numPr>
          <w:ilvl w:val="0"/>
          <w:numId w:val="1"/>
        </w:numPr>
        <w:ind w:right="113"/>
        <w:rPr>
          <w:i/>
          <w:sz w:val="26"/>
          <w:szCs w:val="26"/>
        </w:rPr>
      </w:pPr>
      <w:r w:rsidRPr="002D4024">
        <w:rPr>
          <w:iCs/>
          <w:sz w:val="26"/>
          <w:szCs w:val="26"/>
        </w:rPr>
        <w:t>Tieslietu ministrijas 2021.gada 25.augusta atzinums uz 1 lpp.</w:t>
      </w:r>
      <w:r w:rsidRPr="002D4024">
        <w:rPr>
          <w:i/>
          <w:sz w:val="26"/>
          <w:szCs w:val="26"/>
        </w:rPr>
        <w:t xml:space="preserve"> (datne: TMatz_250821_VSS-707);</w:t>
      </w:r>
    </w:p>
    <w:p w14:paraId="316B9E8F" w14:textId="77777777" w:rsidR="00F95560" w:rsidRPr="002D4024" w:rsidRDefault="00F95560" w:rsidP="00F95560">
      <w:pPr>
        <w:pStyle w:val="ListParagraph"/>
        <w:numPr>
          <w:ilvl w:val="0"/>
          <w:numId w:val="1"/>
        </w:numPr>
        <w:ind w:right="113"/>
        <w:rPr>
          <w:i/>
          <w:sz w:val="26"/>
          <w:szCs w:val="26"/>
        </w:rPr>
      </w:pPr>
      <w:r w:rsidRPr="002D4024">
        <w:rPr>
          <w:iCs/>
          <w:sz w:val="26"/>
          <w:szCs w:val="26"/>
        </w:rPr>
        <w:t>Tieslietu ministrijas 2021.gada 31.augusta atzinums Nr.1-9.1/940 uz 2 lpp.</w:t>
      </w:r>
      <w:r w:rsidRPr="002D4024">
        <w:rPr>
          <w:i/>
          <w:sz w:val="26"/>
          <w:szCs w:val="26"/>
        </w:rPr>
        <w:t xml:space="preserve"> (datne: TMatz_300821_FM_VSS_707);</w:t>
      </w:r>
    </w:p>
    <w:p w14:paraId="08AEB3C9" w14:textId="77777777" w:rsidR="00F95560" w:rsidRPr="002D4024" w:rsidRDefault="00F95560" w:rsidP="00F95560">
      <w:pPr>
        <w:pStyle w:val="ListParagraph"/>
        <w:numPr>
          <w:ilvl w:val="0"/>
          <w:numId w:val="1"/>
        </w:numPr>
        <w:ind w:right="113"/>
        <w:rPr>
          <w:i/>
          <w:sz w:val="26"/>
          <w:szCs w:val="26"/>
        </w:rPr>
      </w:pPr>
      <w:r w:rsidRPr="002D4024">
        <w:rPr>
          <w:sz w:val="26"/>
          <w:szCs w:val="26"/>
        </w:rPr>
        <w:t xml:space="preserve">Ekonomikas ministrijas 2021.gada 30.augusta atzinums Nr.3.1-20/2021/252 uz 1 lpp. </w:t>
      </w:r>
      <w:r w:rsidRPr="002D4024">
        <w:rPr>
          <w:i/>
          <w:sz w:val="26"/>
          <w:szCs w:val="26"/>
        </w:rPr>
        <w:t>(datne: EMatz_300821_VSS-707);</w:t>
      </w:r>
    </w:p>
    <w:p w14:paraId="3133E5B6" w14:textId="77777777" w:rsidR="00F95560" w:rsidRPr="002D4024" w:rsidRDefault="00F95560" w:rsidP="00F95560">
      <w:pPr>
        <w:pStyle w:val="ListParagraph"/>
        <w:numPr>
          <w:ilvl w:val="0"/>
          <w:numId w:val="1"/>
        </w:numPr>
        <w:ind w:right="113"/>
        <w:rPr>
          <w:sz w:val="26"/>
          <w:szCs w:val="26"/>
        </w:rPr>
      </w:pPr>
      <w:r w:rsidRPr="002D4024">
        <w:rPr>
          <w:sz w:val="26"/>
          <w:szCs w:val="26"/>
        </w:rPr>
        <w:t xml:space="preserve">Zemkopības ministrijas </w:t>
      </w:r>
      <w:r w:rsidRPr="002D4024">
        <w:rPr>
          <w:iCs/>
          <w:sz w:val="26"/>
          <w:szCs w:val="26"/>
        </w:rPr>
        <w:t>2021.gada 26.augusta atzinums uz 1 lpp.</w:t>
      </w:r>
      <w:r w:rsidRPr="002D4024">
        <w:rPr>
          <w:i/>
          <w:sz w:val="26"/>
          <w:szCs w:val="26"/>
        </w:rPr>
        <w:t xml:space="preserve"> (datne: ZMatz_260821_VSS-707);</w:t>
      </w:r>
    </w:p>
    <w:p w14:paraId="2F0039BB" w14:textId="77777777" w:rsidR="00F95560" w:rsidRPr="002D4024" w:rsidRDefault="00F95560" w:rsidP="00F95560">
      <w:pPr>
        <w:pStyle w:val="ListParagraph"/>
        <w:numPr>
          <w:ilvl w:val="0"/>
          <w:numId w:val="1"/>
        </w:numPr>
        <w:ind w:right="113"/>
        <w:rPr>
          <w:i/>
          <w:sz w:val="26"/>
          <w:szCs w:val="26"/>
        </w:rPr>
      </w:pPr>
      <w:r w:rsidRPr="002D4024">
        <w:rPr>
          <w:sz w:val="26"/>
          <w:szCs w:val="26"/>
        </w:rPr>
        <w:t xml:space="preserve">Latvijas Darba devēju konfederācijas </w:t>
      </w:r>
      <w:r w:rsidRPr="002D4024">
        <w:rPr>
          <w:iCs/>
          <w:sz w:val="26"/>
          <w:szCs w:val="26"/>
        </w:rPr>
        <w:t>2021.gada 13.augusta atzinums uz 1 lpp.</w:t>
      </w:r>
      <w:r w:rsidRPr="002D4024">
        <w:rPr>
          <w:i/>
          <w:sz w:val="26"/>
          <w:szCs w:val="26"/>
        </w:rPr>
        <w:t xml:space="preserve"> (datne: LDDKatz_130821_VSS-707);</w:t>
      </w:r>
    </w:p>
    <w:p w14:paraId="36B380C5" w14:textId="77777777" w:rsidR="00F95560" w:rsidRPr="002D4024" w:rsidRDefault="00F95560" w:rsidP="00F95560">
      <w:pPr>
        <w:pStyle w:val="ListParagraph"/>
        <w:numPr>
          <w:ilvl w:val="0"/>
          <w:numId w:val="1"/>
        </w:numPr>
        <w:ind w:right="113"/>
        <w:rPr>
          <w:i/>
          <w:sz w:val="26"/>
          <w:szCs w:val="26"/>
        </w:rPr>
      </w:pPr>
      <w:r w:rsidRPr="002D4024">
        <w:rPr>
          <w:sz w:val="26"/>
          <w:szCs w:val="26"/>
        </w:rPr>
        <w:t xml:space="preserve">Latvijas Brīvo arodbiedrību savienības </w:t>
      </w:r>
      <w:r w:rsidRPr="002D4024">
        <w:rPr>
          <w:iCs/>
          <w:sz w:val="26"/>
          <w:szCs w:val="26"/>
        </w:rPr>
        <w:t>2021.gada 25.augusta atzinums uz 1 lpp.</w:t>
      </w:r>
      <w:r w:rsidRPr="002D4024">
        <w:rPr>
          <w:i/>
          <w:sz w:val="26"/>
          <w:szCs w:val="26"/>
        </w:rPr>
        <w:t xml:space="preserve"> (datne: LBASatz_250821_VSS-707).</w:t>
      </w:r>
    </w:p>
    <w:p w14:paraId="1F5FC422" w14:textId="77777777" w:rsidR="00F95560" w:rsidRPr="002D4024" w:rsidRDefault="00F95560" w:rsidP="00F95560">
      <w:pPr>
        <w:ind w:right="113"/>
        <w:rPr>
          <w:i/>
          <w:sz w:val="26"/>
          <w:szCs w:val="26"/>
        </w:rPr>
      </w:pPr>
    </w:p>
    <w:p w14:paraId="37F41987" w14:textId="77777777" w:rsidR="00F95560" w:rsidRPr="002D4024" w:rsidRDefault="00F95560" w:rsidP="00F95560">
      <w:pPr>
        <w:ind w:right="113"/>
        <w:rPr>
          <w:i/>
          <w:sz w:val="26"/>
          <w:szCs w:val="26"/>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F95560" w:rsidRPr="002D4024" w14:paraId="7CC31641" w14:textId="77777777" w:rsidTr="00FD1FFA">
        <w:tc>
          <w:tcPr>
            <w:tcW w:w="4395" w:type="dxa"/>
          </w:tcPr>
          <w:p w14:paraId="113B212F" w14:textId="77777777" w:rsidR="00F95560" w:rsidRPr="002D4024" w:rsidRDefault="00F95560" w:rsidP="00FD1FFA">
            <w:pPr>
              <w:rPr>
                <w:sz w:val="28"/>
                <w:szCs w:val="28"/>
              </w:rPr>
            </w:pPr>
          </w:p>
        </w:tc>
        <w:tc>
          <w:tcPr>
            <w:tcW w:w="1984" w:type="dxa"/>
          </w:tcPr>
          <w:p w14:paraId="2474B8EE" w14:textId="77777777" w:rsidR="00F95560" w:rsidRPr="002D4024" w:rsidRDefault="00F95560" w:rsidP="00FD1FFA">
            <w:pPr>
              <w:jc w:val="center"/>
              <w:rPr>
                <w:sz w:val="28"/>
                <w:szCs w:val="28"/>
              </w:rPr>
            </w:pPr>
          </w:p>
          <w:p w14:paraId="2CE7466C" w14:textId="77777777" w:rsidR="00F95560" w:rsidRPr="002D4024" w:rsidRDefault="00F95560" w:rsidP="00FD1FFA">
            <w:pPr>
              <w:jc w:val="center"/>
              <w:rPr>
                <w:sz w:val="28"/>
                <w:szCs w:val="28"/>
              </w:rPr>
            </w:pPr>
          </w:p>
        </w:tc>
        <w:tc>
          <w:tcPr>
            <w:tcW w:w="2977" w:type="dxa"/>
            <w:vAlign w:val="bottom"/>
          </w:tcPr>
          <w:p w14:paraId="3F856D68" w14:textId="77777777" w:rsidR="00F95560" w:rsidRPr="002D4024" w:rsidRDefault="00F95560" w:rsidP="00FD1FFA">
            <w:pPr>
              <w:jc w:val="right"/>
              <w:rPr>
                <w:sz w:val="28"/>
                <w:szCs w:val="28"/>
              </w:rPr>
            </w:pPr>
          </w:p>
        </w:tc>
      </w:tr>
      <w:tr w:rsidR="00F95560" w:rsidRPr="002D4024" w14:paraId="75BF6EA9" w14:textId="77777777" w:rsidTr="00FD1FFA">
        <w:tc>
          <w:tcPr>
            <w:tcW w:w="4395" w:type="dxa"/>
          </w:tcPr>
          <w:p w14:paraId="6339B5E5" w14:textId="77777777" w:rsidR="00F95560" w:rsidRPr="002D4024" w:rsidRDefault="00F95560" w:rsidP="00FD1FFA">
            <w:pPr>
              <w:rPr>
                <w:szCs w:val="24"/>
              </w:rPr>
            </w:pPr>
          </w:p>
        </w:tc>
        <w:tc>
          <w:tcPr>
            <w:tcW w:w="1984" w:type="dxa"/>
          </w:tcPr>
          <w:p w14:paraId="3803FCD1" w14:textId="77777777" w:rsidR="00F95560" w:rsidRPr="002D4024" w:rsidRDefault="00F95560" w:rsidP="00FD1FFA">
            <w:pPr>
              <w:jc w:val="right"/>
              <w:rPr>
                <w:szCs w:val="24"/>
              </w:rPr>
            </w:pPr>
          </w:p>
        </w:tc>
        <w:tc>
          <w:tcPr>
            <w:tcW w:w="2977" w:type="dxa"/>
            <w:vAlign w:val="bottom"/>
          </w:tcPr>
          <w:p w14:paraId="0C06A39D" w14:textId="77777777" w:rsidR="00F95560" w:rsidRPr="002D4024" w:rsidRDefault="00F95560" w:rsidP="00FD1FFA">
            <w:pPr>
              <w:jc w:val="right"/>
              <w:rPr>
                <w:szCs w:val="24"/>
              </w:rPr>
            </w:pPr>
          </w:p>
        </w:tc>
      </w:tr>
    </w:tbl>
    <w:p w14:paraId="4C05452D" w14:textId="77777777" w:rsidR="00F95560" w:rsidRPr="002D4024" w:rsidRDefault="00F95560" w:rsidP="00F95560">
      <w:pPr>
        <w:ind w:right="113"/>
        <w:rPr>
          <w:b/>
          <w:bCs/>
          <w:sz w:val="26"/>
          <w:szCs w:val="26"/>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2D4024" w14:paraId="2C83552F" w14:textId="77777777" w:rsidTr="00AA6DC1">
        <w:tc>
          <w:tcPr>
            <w:tcW w:w="4395" w:type="dxa"/>
          </w:tcPr>
          <w:p w14:paraId="32F5C025" w14:textId="77777777" w:rsidR="00AA6DC1" w:rsidRPr="002D4024" w:rsidRDefault="00427A45" w:rsidP="007F3771">
            <w:pPr>
              <w:rPr>
                <w:szCs w:val="24"/>
              </w:rPr>
            </w:pPr>
            <w:r w:rsidRPr="002D4024">
              <w:rPr>
                <w:szCs w:val="24"/>
              </w:rPr>
              <w:t>Ministrs</w:t>
            </w:r>
          </w:p>
        </w:tc>
        <w:tc>
          <w:tcPr>
            <w:tcW w:w="1984" w:type="dxa"/>
          </w:tcPr>
          <w:p w14:paraId="18D920A3" w14:textId="77777777" w:rsidR="00AA6DC1" w:rsidRPr="002D4024" w:rsidRDefault="00AA6DC1" w:rsidP="00AA6DC1">
            <w:pPr>
              <w:jc w:val="center"/>
              <w:rPr>
                <w:szCs w:val="24"/>
              </w:rPr>
            </w:pPr>
            <w:bookmarkStart w:id="5" w:name="edoc_info2"/>
            <w:r w:rsidRPr="002D4024">
              <w:rPr>
                <w:szCs w:val="24"/>
              </w:rPr>
              <w:t>(paraksts*)</w:t>
            </w:r>
            <w:bookmarkEnd w:id="5"/>
          </w:p>
        </w:tc>
        <w:tc>
          <w:tcPr>
            <w:tcW w:w="2977" w:type="dxa"/>
            <w:vAlign w:val="bottom"/>
          </w:tcPr>
          <w:p w14:paraId="5CC5D4D8" w14:textId="77777777" w:rsidR="00AA6DC1" w:rsidRPr="002D4024" w:rsidRDefault="00427A45" w:rsidP="00483407">
            <w:pPr>
              <w:jc w:val="right"/>
              <w:rPr>
                <w:szCs w:val="24"/>
              </w:rPr>
            </w:pPr>
            <w:r w:rsidRPr="002D4024">
              <w:rPr>
                <w:szCs w:val="24"/>
              </w:rPr>
              <w:t>J.Reirs</w:t>
            </w:r>
          </w:p>
        </w:tc>
      </w:tr>
      <w:tr w:rsidR="00AA6DC1" w:rsidRPr="002D4024" w14:paraId="76B3A2B3" w14:textId="77777777" w:rsidTr="00AA6DC1">
        <w:tc>
          <w:tcPr>
            <w:tcW w:w="4395" w:type="dxa"/>
          </w:tcPr>
          <w:p w14:paraId="4567C96F" w14:textId="77777777" w:rsidR="00AA6DC1" w:rsidRPr="002D4024" w:rsidRDefault="00AA6DC1" w:rsidP="007F3771">
            <w:pPr>
              <w:rPr>
                <w:szCs w:val="24"/>
              </w:rPr>
            </w:pPr>
          </w:p>
        </w:tc>
        <w:tc>
          <w:tcPr>
            <w:tcW w:w="1984" w:type="dxa"/>
          </w:tcPr>
          <w:p w14:paraId="39A78D9A" w14:textId="77777777" w:rsidR="00AA6DC1" w:rsidRPr="002D4024" w:rsidRDefault="00AA6DC1" w:rsidP="000C0DD4">
            <w:pPr>
              <w:jc w:val="right"/>
              <w:rPr>
                <w:szCs w:val="24"/>
              </w:rPr>
            </w:pPr>
          </w:p>
        </w:tc>
        <w:tc>
          <w:tcPr>
            <w:tcW w:w="2977" w:type="dxa"/>
            <w:vAlign w:val="bottom"/>
          </w:tcPr>
          <w:p w14:paraId="6BF02476" w14:textId="77777777" w:rsidR="00AA6DC1" w:rsidRPr="002D4024"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rsidRPr="002D4024" w14:paraId="0D9B2F30" w14:textId="77777777" w:rsidTr="00AA6DC1">
        <w:trPr>
          <w:cantSplit/>
          <w:trHeight w:val="615"/>
        </w:trPr>
        <w:tc>
          <w:tcPr>
            <w:tcW w:w="8647" w:type="dxa"/>
          </w:tcPr>
          <w:p w14:paraId="64759327" w14:textId="77777777" w:rsidR="002D6CB4" w:rsidRPr="002D4024" w:rsidRDefault="00AA6DC1" w:rsidP="00AA6DC1">
            <w:pPr>
              <w:pStyle w:val="BodyTextIndent"/>
              <w:tabs>
                <w:tab w:val="left" w:pos="8397"/>
              </w:tabs>
              <w:ind w:left="0"/>
              <w:rPr>
                <w:sz w:val="24"/>
                <w:szCs w:val="24"/>
              </w:rPr>
            </w:pPr>
            <w:bookmarkStart w:id="6" w:name="edoc_info" w:colFirst="0" w:colLast="0"/>
            <w:r w:rsidRPr="002D4024">
              <w:rPr>
                <w:sz w:val="24"/>
                <w:szCs w:val="24"/>
              </w:rPr>
              <w:t>*Dokuments ir parakstīts ar drošu elektronisko parakstu</w:t>
            </w:r>
          </w:p>
        </w:tc>
      </w:tr>
      <w:bookmarkEnd w:id="6"/>
    </w:tbl>
    <w:p w14:paraId="156E0D1F" w14:textId="77777777" w:rsidR="00826D51" w:rsidRPr="002D4024" w:rsidRDefault="00826D51" w:rsidP="007F3771">
      <w:pPr>
        <w:rPr>
          <w:sz w:val="20"/>
        </w:rPr>
      </w:pPr>
    </w:p>
    <w:p w14:paraId="39FA1915" w14:textId="5DE53F98" w:rsidR="00427A45" w:rsidRPr="002D4024" w:rsidRDefault="000F25E8" w:rsidP="00550BA5">
      <w:pPr>
        <w:ind w:firstLine="142"/>
        <w:rPr>
          <w:sz w:val="20"/>
        </w:rPr>
      </w:pPr>
      <w:r w:rsidRPr="002D4024">
        <w:rPr>
          <w:sz w:val="20"/>
        </w:rPr>
        <w:t>Priede</w:t>
      </w:r>
      <w:r w:rsidR="00427A45" w:rsidRPr="002D4024">
        <w:rPr>
          <w:sz w:val="20"/>
        </w:rPr>
        <w:t xml:space="preserve"> 67-0</w:t>
      </w:r>
      <w:r w:rsidRPr="002D4024">
        <w:rPr>
          <w:sz w:val="20"/>
        </w:rPr>
        <w:t>83</w:t>
      </w:r>
      <w:r w:rsidR="00427A45" w:rsidRPr="002D4024">
        <w:rPr>
          <w:sz w:val="20"/>
        </w:rPr>
        <w:t>-</w:t>
      </w:r>
      <w:r w:rsidRPr="002D4024">
        <w:rPr>
          <w:sz w:val="20"/>
        </w:rPr>
        <w:t>866</w:t>
      </w:r>
      <w:r w:rsidR="00427A45" w:rsidRPr="002D4024">
        <w:rPr>
          <w:sz w:val="20"/>
        </w:rPr>
        <w:t xml:space="preserve"> </w:t>
      </w:r>
    </w:p>
    <w:p w14:paraId="4AA104A8" w14:textId="662D3A2D" w:rsidR="000C0DD4" w:rsidRPr="002D4024" w:rsidRDefault="000F25E8" w:rsidP="00550BA5">
      <w:pPr>
        <w:ind w:firstLine="142"/>
        <w:rPr>
          <w:sz w:val="20"/>
        </w:rPr>
      </w:pPr>
      <w:r w:rsidRPr="002D4024">
        <w:rPr>
          <w:sz w:val="20"/>
        </w:rPr>
        <w:t>Arta</w:t>
      </w:r>
      <w:r w:rsidR="00427A45" w:rsidRPr="002D4024">
        <w:rPr>
          <w:sz w:val="20"/>
        </w:rPr>
        <w:t>.</w:t>
      </w:r>
      <w:r w:rsidRPr="002D4024">
        <w:rPr>
          <w:sz w:val="20"/>
        </w:rPr>
        <w:t>Prede</w:t>
      </w:r>
      <w:r w:rsidR="00427A45" w:rsidRPr="002D4024">
        <w:rPr>
          <w:sz w:val="20"/>
        </w:rPr>
        <w:t>@fm.gov.lv</w:t>
      </w:r>
    </w:p>
    <w:p w14:paraId="1E3C8C8E" w14:textId="77777777" w:rsidR="000C0DD4" w:rsidRPr="002D4024" w:rsidRDefault="000C0DD4" w:rsidP="007F3771">
      <w:pPr>
        <w:rPr>
          <w:sz w:val="20"/>
        </w:rPr>
      </w:pPr>
    </w:p>
    <w:sectPr w:rsidR="000C0DD4" w:rsidRPr="002D4024" w:rsidSect="002C22B9">
      <w:headerReference w:type="even" r:id="rId8"/>
      <w:headerReference w:type="default" r:id="rId9"/>
      <w:footerReference w:type="even" r:id="rId10"/>
      <w:footerReference w:type="default" r:id="rId11"/>
      <w:headerReference w:type="first" r:id="rId12"/>
      <w:footerReference w:type="first" r:id="rId13"/>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8A99" w14:textId="77777777" w:rsidR="00B46AD5" w:rsidRDefault="00B46AD5">
      <w:r>
        <w:separator/>
      </w:r>
    </w:p>
  </w:endnote>
  <w:endnote w:type="continuationSeparator" w:id="0">
    <w:p w14:paraId="5B2C937D" w14:textId="77777777" w:rsidR="00B46AD5" w:rsidRDefault="00B4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46E6" w14:textId="77777777" w:rsidR="002C22B9" w:rsidRDefault="002C2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EndPr/>
    <w:sdtContent>
      <w:p w14:paraId="3F90FC09"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0C0DD4">
          <w:rPr>
            <w:noProof/>
            <w:sz w:val="24"/>
            <w:szCs w:val="24"/>
          </w:rPr>
          <w:t>2</w:t>
        </w:r>
        <w:r w:rsidRPr="00557B49">
          <w:rPr>
            <w:sz w:val="24"/>
            <w:szCs w:val="24"/>
          </w:rPr>
          <w:fldChar w:fldCharType="end"/>
        </w:r>
      </w:p>
    </w:sdtContent>
  </w:sdt>
  <w:p w14:paraId="3821C03C" w14:textId="77777777" w:rsidR="0015384D" w:rsidRDefault="00153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C757" w14:textId="77777777" w:rsidR="0015384D" w:rsidRDefault="0015384D">
    <w:pPr>
      <w:pStyle w:val="Footer"/>
      <w:jc w:val="center"/>
    </w:pPr>
  </w:p>
  <w:p w14:paraId="790B0EBF"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6D77A" w14:textId="77777777" w:rsidR="00B46AD5" w:rsidRDefault="00B46AD5">
      <w:r>
        <w:separator/>
      </w:r>
    </w:p>
  </w:footnote>
  <w:footnote w:type="continuationSeparator" w:id="0">
    <w:p w14:paraId="71393DAE" w14:textId="77777777" w:rsidR="00B46AD5" w:rsidRDefault="00B46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6356"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7BD88506"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AF2D"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7A37" w14:textId="77777777" w:rsidR="002C22B9" w:rsidRDefault="002C22B9">
    <w:pPr>
      <w:pStyle w:val="Header"/>
    </w:pPr>
  </w:p>
  <w:p w14:paraId="51B08A31" w14:textId="77777777" w:rsidR="002C22B9" w:rsidRDefault="002C22B9">
    <w:pPr>
      <w:pStyle w:val="Header"/>
    </w:pPr>
  </w:p>
  <w:p w14:paraId="7CB24E17" w14:textId="77777777" w:rsidR="002C22B9" w:rsidRDefault="002C22B9">
    <w:pPr>
      <w:pStyle w:val="Header"/>
    </w:pPr>
  </w:p>
  <w:p w14:paraId="5F6AD5D2"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1C8E8DEE" wp14:editId="23E7A493">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E823E"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E8DEE"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" filled="f" stroked="f">
              <v:textbox inset="0,0,0,0">
                <w:txbxContent>
                  <w:p w14:paraId="2D6E823E"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08A16F53" wp14:editId="3438876A">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99B0BC" w14:textId="77777777" w:rsidR="002C22B9" w:rsidRDefault="002C22B9">
    <w:pPr>
      <w:pStyle w:val="Header"/>
    </w:pPr>
  </w:p>
  <w:p w14:paraId="431DCECC" w14:textId="77777777" w:rsidR="002C22B9" w:rsidRDefault="002C22B9">
    <w:pPr>
      <w:pStyle w:val="Header"/>
    </w:pPr>
  </w:p>
  <w:p w14:paraId="69935248" w14:textId="77777777" w:rsidR="002C22B9" w:rsidRDefault="002C22B9">
    <w:pPr>
      <w:pStyle w:val="Header"/>
    </w:pPr>
  </w:p>
  <w:p w14:paraId="53C87CC1" w14:textId="77777777" w:rsidR="002C22B9" w:rsidRDefault="002C22B9">
    <w:pPr>
      <w:pStyle w:val="Header"/>
    </w:pPr>
  </w:p>
  <w:p w14:paraId="4D66E7D5" w14:textId="77777777" w:rsidR="002C22B9" w:rsidRDefault="002C22B9">
    <w:pPr>
      <w:pStyle w:val="Header"/>
    </w:pPr>
  </w:p>
  <w:p w14:paraId="7FD8A98C" w14:textId="77777777" w:rsidR="002C22B9" w:rsidRDefault="002C22B9">
    <w:pPr>
      <w:pStyle w:val="Header"/>
    </w:pPr>
  </w:p>
  <w:p w14:paraId="35ED5187"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77AFB330" wp14:editId="2A7A35CB">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6C5D70A5" w14:textId="77777777" w:rsidR="002C22B9" w:rsidRDefault="002C22B9">
    <w:pPr>
      <w:pStyle w:val="Header"/>
    </w:pPr>
  </w:p>
  <w:p w14:paraId="57B76A84" w14:textId="77777777" w:rsidR="002C22B9" w:rsidRDefault="002C22B9">
    <w:pPr>
      <w:pStyle w:val="Header"/>
    </w:pPr>
  </w:p>
  <w:p w14:paraId="327E3E78" w14:textId="77777777" w:rsidR="002C22B9" w:rsidRDefault="002C2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E2806"/>
    <w:multiLevelType w:val="hybridMultilevel"/>
    <w:tmpl w:val="3860306E"/>
    <w:lvl w:ilvl="0" w:tplc="868C358A">
      <w:start w:val="1"/>
      <w:numFmt w:val="decimal"/>
      <w:lvlText w:val="%1."/>
      <w:lvlJc w:val="left"/>
      <w:pPr>
        <w:ind w:left="643" w:hanging="360"/>
      </w:pPr>
      <w:rPr>
        <w:rFonts w:ascii="Times New Roman" w:hAnsi="Times New Roman" w:hint="default"/>
        <w:caps w:val="0"/>
        <w:strike w:val="0"/>
        <w:dstrike w:val="0"/>
        <w:vanish w:val="0"/>
        <w:color w:val="000000" w:themeColor="text1"/>
        <w:sz w:val="28"/>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0F25E8"/>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601"/>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4024"/>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27A45"/>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C642E"/>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5C16"/>
    <w:rsid w:val="00B46AD5"/>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C23"/>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95560"/>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05BDE8"/>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30024-E6EF-4C50-B4AC-FC54616E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5070</Words>
  <Characters>2891</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likumprojektu "Grozījumi Gada pārskatu un kons</dc:subject>
  <dc:creator>Šaknere D.</dc:creator>
  <dc:description>Sagatavots ALS E-aprites vidē.</dc:description>
  <cp:lastModifiedBy>Jānis Reirs</cp:lastModifiedBy>
  <cp:revision>7</cp:revision>
  <cp:lastPrinted>2007-06-25T10:49:00Z</cp:lastPrinted>
  <dcterms:created xsi:type="dcterms:W3CDTF">2021-09-02T13:57:00Z</dcterms:created>
  <dcterms:modified xsi:type="dcterms:W3CDTF">2021-09-03T12:26:00Z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ies>
</file>