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25-TA-2782: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19.03.2026. 17:01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Finanšu ministrijas 11.atsauces ietveršanu Projektā, jo: 1) atvieglojumu izmantošanas ierobežojumi pastāv visām sociālajām grupām, kurām normatīvais regulējums paredz nodokļu atvieglojumus - gan personām, kurām ir tiesības uz neapliekamo minimumu (skaitliski lielākā neizmantotāju grupa), gan personām, kurām ir tiesības uz papildu atvieglojumiem, gan personām, kurām ir tiesības uz pensionāra neapliekamo minimumu (procentuāli lielākais neizmantotāju īpatsvars). 2) Neapliekamā minimuma palielināšana, ja vienlaikus netiek palielināts atvieglojums par apgādībā esošām personām vai - kā alternatīva - ģimenes valsts pabalsta palielinājums - palielina nevienlīdzību starp mājsaimniecībām ar un bez bērniem; 3) Ņemot vērā, ka viens no Neapliekamā minimuma palielināšanas izraisītā fiskālās telpas samazinājuma kompensējošajiem pasākumiem bija būtiska IIN bāzes likmes palielinājums, ir izveidojusise situācija, ka mājsaimniecības  ar bērniem, kurās vecāku ienākumi pārsniedz kopējo atvieglojumu summu, maksājot paaugstināto IIN likmi, faktiski šķērssubsidē Neapliekamā minimuma palielināšanu; 4) attiecībā uz Finanšu ministrijas atsaucē ietverto skaidrojumu, ka Latvija ir vienīgā no Baltijas valstīm, kurā ir saglabāts atvieglojums par bērniem, jāpaskaidro, ka Latvija ir vienīgā no Baltijas valstīm, kurā ir tik zemi ģimenes valsts pabalsti. Savukārt Finanšu ministrijas atsaucē ietverto skaidrojumu, ka tieši lielākām ģimenēm ir zemāks atvieglojumu izmantošanas koeficients, jānorāda, ka šai grupai ir iespējams sniegt mērķētu atbalstu pabalstu veidā. Piemēram, Igaunijā papildus ievērojami lielākam ģimenes valsts pabalstam, ģimene ar 3 līdz 6 bērniem papildus saņem 450 euro pabalstu, bet ģimene ar 7 un vairāk bērniem papildus saņem 650 euro pabalstu. LDDK neuzstāj, ka atvieglojums par apgādībā esošām personām ir vienīgais iespējamais ģimeņu ar bērniem atbalsta instruments. Ģimenes valsts pabalstam noteikti ir augstāks sasniedzamības līmenis. Tajā pašā laikā nevar noliegt, ka atvieglojumam ir gan nodarbinātību veicinoša, gan ēnu ekonomiku mazinoša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LM norādi uz LDDK it kā pastāvošo nekonsekvenci pret 2021.gadā sniegto saskaņojumu,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ka 2.pielikumā ir skaidrojums par nabadzības riskiem, neparādās tabulā blakus ailēm, kurās tiek sniegti dinamikas dati;  2) kopš 2021.gada situācija ir mainījusies, jo 2021.gada decembrī tika publiskots Eiropas Sociālā fonda (ESF) projekta Nr.9.2.1.2/15/I/001 „Iekļaujoša darba tirgus un nabadzības risku pētījumi un monitorings” ietvaros veiktais Labklājības ministrijas pasūtītais pētījums "Mājsaimniecību relatīvo izdevumu budžets", pēc kura var secināt, ka plaisa starp bērnu nabadzības riska robežu un bērniem reāli nepieciešamo līdzekļu apjomu ir ļoti liela.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ar 3.grupas invaliditāti jāpaskaidro, ka kopš Plāna sākotnējās redakcijas izstrādi ir mainījies normatīvais regulējums, kas personām ar 3.grupas invaliditāti palielina nenodarbinātībasi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iekļautā atsauce, kas atspoguļo Finanšu ministrijas viedokli, nemaina secinājumu būtību un veikto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analīzi par MRI budžeta rādītāju metodoloģiskās salīdzināšanas iespējām un ierobežojumiem ar citiem monetārās nabadzības un iedzīvotāju ienākumus raksturojošiem rādītājiem (absolūtiem un relatīviem), tika secināts, ka MRI budžets ir īpašs rādītājs, jo tam nav vienas galvenās skaitliskās vērtības un tas tiek aprēķināts mājsaimniecības līmenī. Visās pozīcijās, izņemot pārtiku, tas automātiski pielāgojas patēriņa struktūras izmaiņām, līdz ar to MRI budžeta “mērķa līmenis” nepārtraukti paaugstinās un nav sasniedzams. MRI budžets atspoguļo to, kā sabiedrība pielāgo izdevumus pārmaiņām, cenšoties nodrošināt līdzsvaru starp vajadzību apmierināšanu un mērenību, iekļaujot tādus izdevumus, kas ļauj indivīdam pilnvērtīgi funkcionēt sabiedrībā (t.i., segt būtiskas vajadzības, lai nepastāvētu sociālās atstumtības risks), bet neiekļaujot luksusa vai izšķērdīgus tēriņus. Sociālā darba procesā un monetārā atbalsta sniegšanā MRI budžets ir izmantojams individuāli, sociālajam darbiniekam izvērtējot konkrētas mājsaimniecības izdevuma struktūru, bet to nevar izmantot kā abstraktu robežvērtību, kas jānodrošina kā “iztikas minimums”. Jau sākotnēji izstrādājot MRI budžetus, šis rādītājs tika plānots tikai kā analītisks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Padziļinātāku vērtējumu par minimālo ienākumu reformu lūdzam skatīt informatīvajā ziņojumā "Par Plāna minimālo ienākumu atbalsta sistēmas pilnveidošanai 2022.-2024. gadam izpildi", kas 2025.gada 23. septembrī izskatīts valdības sēdē.</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vērš uzmanību, ka ziņojumā pieaugušo izglītība pieminēta vien fragmentāri — tikai NVA digitālo prasmju kursi un sadarbība ar Coursera/Google platformām. Netiek apskatīta IZM koordinētā pieaugušo izglītības politika, lai gan tā ir uzskatāma kā viens no centrālajiem mehānismiem ilgstoša bezdarba, zemu prasmju un sociālās atstumtības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ziņojumā identificēts būtisks sociālo aprūpes speciālistu un atbalsta darbinieku trūkums, bet nav apskatīta iespēja šo deficītu risināt caur profesionālo un pieaugušo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pieaugušo izglītības lomu sociālās politikas rezultātu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integrēt LM–IZM kopīgu mācību programmu izstrādi tieši sociālās aprūpes un asistēšanas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priekšlikumu. Ņemot vērā, ka ziņojuma mērķis ir novērtēt pamatnostādņu ietvaros sasniegto, kā arī izvirzīto izaicinājumu aktualitāti sasaistē ar izmaiņām un tendencēm Latvijā un pasaulē, lai identificētu nepieciešamās korekcijas politikas ieviešanā un iezīmētu virzienus nākamajam plānošanas periodam, Izglītības un zinātnes ministrijas (turpmāk - IZM) koordinētā pieaugušo politika netika pētīta detalizēti. Vienlaikus ziņojumā uzsvērta nepieciešamība stiprināt starpinstitucionālo sadarbību efektīvākas politikas īstenošanai, līdz ar to, izstrādājot jaunu politikas plānošanas dokumentu, aicināsim IZM kopīgi izstrādāt risinājumus sociālās politikas rezultātu uzlabošanai pieaugušo izglītības kontekstā.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05.02.2026. 14:47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lpp. ir minēts: “</w:t>
            </w:r>
            <w:r w:rsidR="00000000" w:rsidRPr="00000000" w:rsidDel="00000000">
              <w:rPr>
                <w:i w:val="1"/>
                <w:rtl w:val="0"/>
              </w:rPr>
              <w:t xml:space="preserve">Veikti pasākumi pensijas adekvātuma palielināšanai un senioru nabadzības risku mazināšanai: 1) ikgadēji tiek veikta pensiju indeksācija, savukārt no 2022. gada būtiski palielināts,</w:t>
            </w:r>
            <w:r w:rsidR="00000000" w:rsidRPr="00000000" w:rsidDel="00000000">
              <w:rPr>
                <w:i w:val="1"/>
                <w:u w:val="single"/>
                <w:rtl w:val="0"/>
              </w:rPr>
              <w:t xml:space="preserve"> 2025. gadā pat divreiz</w:t>
            </w:r>
            <w:r w:rsidR="00000000" w:rsidRPr="00000000" w:rsidDel="00000000">
              <w:rPr>
                <w:i w:val="1"/>
                <w:rtl w:val="0"/>
              </w:rPr>
              <w:t xml:space="preserve">, pensionāra ar iedzīvotāju ienākuma nodokli neapliekamais minimums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gadā pensionāra neapliekamais minimums tika palielināts vienu reizi no 6000 </w:t>
            </w:r>
            <w:r w:rsidR="00000000" w:rsidRPr="00000000" w:rsidDel="00000000">
              <w:rPr>
                <w:i w:val="1"/>
                <w:rtl w:val="0"/>
              </w:rPr>
              <w:t xml:space="preserve">euro </w:t>
            </w:r>
            <w:r w:rsidR="00000000" w:rsidRPr="00000000" w:rsidDel="00000000">
              <w:rPr>
                <w:rtl w:val="0"/>
              </w:rPr>
              <w:t xml:space="preserve">gadā (500 </w:t>
            </w:r>
            <w:r w:rsidR="00000000" w:rsidRPr="00000000" w:rsidDel="00000000">
              <w:rPr>
                <w:i w:val="1"/>
                <w:rtl w:val="0"/>
              </w:rPr>
              <w:t xml:space="preserve">euro</w:t>
            </w:r>
            <w:r w:rsidR="00000000" w:rsidRPr="00000000" w:rsidDel="00000000">
              <w:rPr>
                <w:rtl w:val="0"/>
              </w:rPr>
              <w:t xml:space="preserve"> mēnesi) līdz 12 000 </w:t>
            </w:r>
            <w:r w:rsidR="00000000" w:rsidRPr="00000000" w:rsidDel="00000000">
              <w:rPr>
                <w:i w:val="1"/>
                <w:rtl w:val="0"/>
              </w:rPr>
              <w:t xml:space="preserve">euro </w:t>
            </w:r>
            <w:r w:rsidR="00000000" w:rsidRPr="00000000" w:rsidDel="00000000">
              <w:rPr>
                <w:rtl w:val="0"/>
              </w:rPr>
              <w:t xml:space="preserve">gadā (1000 </w:t>
            </w:r>
            <w:r w:rsidR="00000000" w:rsidRPr="00000000" w:rsidDel="00000000">
              <w:rPr>
                <w:i w:val="1"/>
                <w:rtl w:val="0"/>
              </w:rPr>
              <w:t xml:space="preserve">euro </w:t>
            </w:r>
            <w:r w:rsidR="00000000" w:rsidRPr="00000000" w:rsidDel="00000000">
              <w:rPr>
                <w:rtl w:val="0"/>
              </w:rPr>
              <w:t xml:space="preserve">mēnesī). Attiecīgi ierosinām minēto informatīvā ziņojuma projekta tekstu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Veikti pasākumi pensijas adekvātuma palielināšanai un senioru nabadzības risku mazināšanai: 1) ikgadēji tiek veikta pensiju indeksācija, savukārt no 2022. gada būtiski palielināts</w:t>
            </w:r>
            <w:r w:rsidR="00000000" w:rsidRPr="00000000" w:rsidDel="00000000">
              <w:rPr>
                <w:i w:val="1"/>
                <w:rtl w:val="0"/>
              </w:rPr>
              <w:t xml:space="preserve"> pensionāra ar iedzīvotāju ienākuma nodokli neapliekamais minimums </w:t>
            </w:r>
            <w:r w:rsidR="00000000" w:rsidRPr="00000000" w:rsidDel="00000000">
              <w:rPr>
                <w:i w:val="1"/>
                <w:u w:val="single"/>
                <w:rtl w:val="0"/>
              </w:rPr>
              <w:t xml:space="preserve">(no 2025. gada pensionāra neapliekamais minimums palielināts pat divkāršā apmērā - no 6 000 euro gadā (500 euro mēnesī) līdz 12 000 euro gadā (1 000 euro mēnesī)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piedāvātajai redakcijai.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 lpp. minēts: “</w:t>
            </w:r>
            <w:r w:rsidR="00000000" w:rsidRPr="00000000" w:rsidDel="00000000">
              <w:rPr>
                <w:i w:val="1"/>
                <w:rtl w:val="0"/>
              </w:rPr>
              <w:t xml:space="preserve">Diskusiju dalībnieki norādīja, ka pašreizējā demogrāfiskajā situācijā būtu jāpārskata atvieglojuma apmērs par apgādībā esošu personu, to palielinot.</w:t>
            </w:r>
            <w:r w:rsidR="00000000" w:rsidRPr="00000000" w:rsidDel="00000000">
              <w:rPr>
                <w:rtl w:val="0"/>
              </w:rPr>
              <w:t xml:space="preserve">”. Minētais teikums ir papildināts ar 11. atsauci, kur norādīts Finanšu ministrijas viedoklis par atvieglojuma par apgādībā esošu personu apmēra palielināšanu. Informējam, ka Finanšu ministrija neiebilst pret to, ka Finanšu ministrijas viedoklis par atvieglojuma par apgādībā esošu personu apmēra palielināšanu ir ietverts zemsvītras atsaucē, tomēr lūdzam šajā atsaucē ietvert visu Finanšu ministrijas 2026. gada 12. janvāra atzinuma 3. punktā ietverto viedokli. Attiecīgi lūdzam informatīvā ziņojuma projekta 11. atsaucē norādīt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Finanšu ministrija vērš uzmanību, ka Latvija pašreiz ir vienīgā no Baltijas valstīm, kurā tiek piemērots iedzīvotāju ienākuma nodokļa atvieglojums par bērniem. Finanšu ministrija uzsver, ka atvieglojumu par apgādībā esošu personu pilnībā iespējams izmantot tikai tad, ja nodokļa maksātāja ienākumi ir pietiekami lieli. Augot nodokļa maksātāja ienākumiem, aug iespēja pilnīgi izmantot minēto atvieglojumu par vairākām personām, savukārt personām ar zemiem ienākumiem, vai tad, ja persona vispār negūst ar iedzīvotāju ienākuma nodokli apliekamus ienākumus, šādu iespēju nav (šajā gadījumā lielāka nozīme ir pabalstiem). Pēc Valsts ieņēmumu dienesta datiem uz 2025. gada 1. janvāri par 11,4% apgādībā esošām personām apgādnieks atvieglojumu par apgādībā esošu personu nepiemēroja (jeb atvieglojumu neizmantoja nemaz), jo viņu ienākumi 2024. gadā bija zemāki par minimālās algas apmēru. Aptuveni 75% nodarbināto ar vienu apgādībā esošu personu pilnībā spēj izmantot esošu minētā atvieglojuma apmēru, bet nodarbinātie ar trīs apgādībā esošam personām vairs tikai 58%. Šis īpatsvars ar katru jaunu apgādībā esošu personu būtiski samazinās. Ņemot vērā minēto, atvieglojuma par apgādībā esošu personu apmēra palielināšana nesasniedz mērķi, jo lielai daļai nodarbināto ar apgādībā esošām personām labklājības līmenis netiks paaugstināts, bet tas paliks nemainīgs.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 norādot šādu informāciju: Finanšu ministrija vērš uzmanību, ka Latvija pašreiz ir vienīgā no Baltijas valstīm, kurā tiek piemērots iedzīvotāju ienākuma nodokļa atvieglojums par bērniem. Finanšu ministrija uzsver, ka atvieglojumu par apgādībā esošu personu pilnībā iespējams izmantot tikai tad, ja nodokļa maksātāja ienākumi ir pietiekami lieli. Augot nodokļa maksātāja ienākumiem, aug iespēja pilnīgi izmantot minēto atvieglojumu par vairākām personām, savukārt personām ar zemiem ienākumiem, vai tad, ja persona vispār negūst ar iedzīvotāju ienākuma nodokli apliekamus ienākumus, šādu iespēju nav (šajā gadījumā lielāka nozīme ir pabalstiem). Pēc Valsts ieņēmumu dienesta datiem uz 2025. gada 1. janvāri par 11,4% apgādībā esošām personām apgādnieks atvieglojumu par apgādībā esošu personu nepiemēroja (jeb atvieglojumu neizmantoja nemaz), jo viņu ienākumi 2024. gadā bija zemāki par minimālās algas apmēru. Aptuveni 75% nodarbināto ar vienu apgādībā esošu personu pilnībā spēj izmantot esošu minētā atvieglojuma apmēru, bet nodarbinātie ar trīs apgādībā esošam personām vairs tikai 58%. Šis īpatsvars ar katru jaunu apgādībā esošu personu būtiski samazinās. Ņemot vērā minēto, atvieglojuma par apgādībā esošu personu apmēra palielināšana nesasniedz mērķi, jo lielai daļai nodarbināto ar apgādībā esošām personām labklājības līmenis netiks paaugstināts, bet tas paliks nemainīgs.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26. lpp. ir minēts: “</w:t>
            </w:r>
            <w:r w:rsidR="00000000" w:rsidRPr="00000000" w:rsidDel="00000000">
              <w:rPr>
                <w:i w:val="1"/>
                <w:rtl w:val="0"/>
              </w:rPr>
              <w:t xml:space="preserve">Lai gan personu ar invaliditāti nodarbinātības rādītāji ir uzlabojušies, diskusijās ar partneriem un NVO izteikts pieņēmums, ka tie varētu būt pat vēl augstāki, </w:t>
            </w:r>
            <w:r w:rsidR="00000000" w:rsidRPr="00000000" w:rsidDel="00000000">
              <w:rPr>
                <w:i w:val="1"/>
                <w:u w:val="single"/>
                <w:rtl w:val="0"/>
              </w:rPr>
              <w:t xml:space="preserve">taču esošā nodokļu sistēma nepilna laika darba gadījumā nav labvēlīga senioru un personu ar invaliditāti nodarbināšanai</w:t>
            </w:r>
            <w:r w:rsidR="00000000" w:rsidRPr="00000000" w:rsidDel="00000000">
              <w:rPr>
                <w:i w:val="1"/>
                <w:rtl w:val="0"/>
              </w:rPr>
              <w:t xml:space="preserve">.</w:t>
            </w:r>
            <w:r w:rsidR="00000000" w:rsidRPr="00000000" w:rsidDel="00000000">
              <w:rPr>
                <w:rtl w:val="0"/>
              </w:rPr>
              <w:t xml:space="preserve">”. Labklājības ministrija izziņas 3. punktā vērš uzmanību, ka šajā sadaļā ir īsi apkopots diskusijas dalībnieku redzējums par paveikto vai nepieciešamajiem pasākumiem spēkā esošo pamatnostādņu vai nākamā politikas plānošanas dokumenta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ir norādīts ļoti plaši – “esošā nodokļu sistēma” un no minētā nav viennozīmīgi skaidri saprotams, kas konkrēti no esošās nodokļu sistēmas nepilna laika darba gadījumā nav labvēlīgs senioru un personu ar invaliditāti nodarbināšanai. Attiecīgi lūdzam precizēt minēto teikumu konkrētāk vai arī izslēgt to no informatīvā ziņojuma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ar norādi par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izvērtējuma procesā tika rīkotas vairākas diskusijas un fiksēts iesaistīto pušu viedoklis, kurš netiek cenzēts. Izvērtējuma ziņojums nav jauna perioda plānošanas dokuments, taču tajā tostarp ir iezīmēti problēmjautājumi, kuri būtu jāpārdomā nākamajā periodā.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48. lpp. ir minēts: “</w:t>
            </w:r>
            <w:r w:rsidR="00000000" w:rsidRPr="00000000" w:rsidDel="00000000">
              <w:rPr>
                <w:i w:val="1"/>
                <w:rtl w:val="0"/>
              </w:rPr>
              <w:t xml:space="preserve">Tomēr ievērojot pētījumus un prognozes, nākamajā politikas plānošanas dokumentā būtu jāietver papildu rīcības virzieni vai lielāks uzsvars jāliek uz: starpresoru sadarbību, t.sk. [..] Finanšu ministriju (lai izskatītu iespējas stiprināt sociālās aizsardzības sistēmas finanšu noturību un elastību, </w:t>
            </w:r>
            <w:r w:rsidR="00000000" w:rsidRPr="00000000" w:rsidDel="00000000">
              <w:rPr>
                <w:i w:val="1"/>
                <w:u w:val="single"/>
                <w:rtl w:val="0"/>
              </w:rPr>
              <w:t xml:space="preserve">kā arī izstrādātu mērķgrupas vajadzībām atbilstošāku nodokļu regulējumu</w:t>
            </w:r>
            <w:r w:rsidR="00000000" w:rsidRPr="00000000" w:rsidDel="00000000">
              <w:rPr>
                <w:i w:val="1"/>
                <w:rtl w:val="0"/>
              </w:rPr>
              <w:t xml:space="preserve">).</w:t>
            </w:r>
            <w:r w:rsidR="00000000" w:rsidRPr="00000000" w:rsidDel="00000000">
              <w:rPr>
                <w:rtl w:val="0"/>
              </w:rPr>
              <w:t xml:space="preserve">” Labklājības ministrija izziņas 2. punktā norāda, ka diskusijās ar sadarbības partneriem aktualizējās ar nodokļiem saistīti jautājumi. Ņemot vērā strauji mainīgo vidi un pieaugošo nepieciešamību pielāgoties jauniem apstākļiem, ir būtiski regulāri pārskatīt gan atbalsta pasākumus, gan nodokļu regulējumu. Laika gaitā nepieciešams arī izvērtēt iepriekš ieviesto nodokļu izmaiņu ietekmi un to, vai tās ir sasniegušas izvirzītos mērķus. Šajā kontekstā jēdziens “mērķgrupa” un vārdkopa "vajadzībām atbilstošāks nodokļu regulējums" tiek lietoti vispārīgā nozīmē, neattiecinot to uz kādu konkrētu sabiedrības daļu un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projektā un izziņā minētā nav saprotams (nav vēl definēts) kādai mērķgrupai un kādām vajadzībām nepieciešams izstrādāt atbilstošāku nodokļu regulējumu, lūdzam no informatīvā ziņojuma projekta 48. lpp. svītrot vārdus: “</w:t>
            </w:r>
            <w:r w:rsidR="00000000" w:rsidRPr="00000000" w:rsidDel="00000000">
              <w:rPr>
                <w:i w:val="1"/>
                <w:rtl w:val="0"/>
              </w:rPr>
              <w:t xml:space="preserve">kā arī izstrādātu mērķgrupas vajadzībām atbilstošāku nodokļu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izsakot šādā redakcijā: “Tomēr ievērojot pētījumus un prognozes, nākamajā politikas plānošanas dokumentā būtu jāietver papildu rīcības virzieni vai lielāks uzsvars jāliek uz: starpresoru sadarbību, t.sk. [..] Finanšu ministriju (lai izskatītu iespējas stiprināt sociālās aizsardzības sistēmas finanšu noturību un elastību, kā arī turpinātu aktualizēt un pārskatīt mērķgrupas vajadzībām atbilstošāku nodokļu regulējumu).”.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Projektu kopumā, jo Projektā nav analizēts un risināts  tāds sociālās aizsardzības un darba tirgus politikai būtisks jautājums, kā iespēja sociāli mazaizsargātām grupām iekļauties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līdzīgi kā citviet pasaulē, ir sociālās grupas, kuras darbspēju ierobežojumu un citu iemeslu dēļ nevar veikt pilna laika darbu, bet ir nepieciešamība un iespējas strādāt nepilnu laiku. Lai to nodrošinātu, Darba likuma 134.panta otrajā daļā darba devējam ir noteikts pienākums nodrošināt 134.panta otrajā daļā minētajām sociālajām grupām iespēju strādāt nepilna laika darbu. Savukārt likuma “Par valsts sociālo apdrošināšanu” (turpmāk arī VSA likums) 20.4 panta ceturtajā daļā nav ietvertas Darba likuma 134.panta otrajā daļā minētās sociālās grupas, kā rezultātā  Darba likuma 134.panta otrajā daļā minētajām sociālajām grupām ir augstāka barjera iekļūšanai darba tirgū un regulējums ir pretējs iekļaujošai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minētajiem argumentiem, LDDK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LM norādi, ka VSA likuma 20.4 panta ceturtā daļa paredz plašu personu loku, par kurām minimālās VSAOI neveic. VSA likuma 20.4 panta ceturtajā daļā pamatoti ir ietverta daļa no Darba likuma 134.panta otrajā minētajām sociālajām grupām, tomēr pienākums darba devējam nodrošināt iespēju strādāt nepilna laika darbu attiecas uz visām 134.panta otrajā daļā minētajām sociālajām grupām, līdz ar to VSA likuma 20.4 panta ceturtajā daļā bija jābūt ietvertām vismaz visām Darba likuma 134.panta otrajā  daļā minētajām grupām. Tomēr starp abām normām pastāv vairākas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Darba likums paredz tiesības uz nepilna laika darbu darbiniekam ar invaliditāti,  VSA likumā ir ietvertas personas ar I un II grupas invaliditāti. Iztrūkst personu ar III grupas invaliditāti. Kā LM vajadzētu būt zināmam, personām ar 3.grupas invaliditāti darbspēju ierobežojums var būt no 25% līdz 59%. Likt personai ar  40, 50 un vairāk procentu darbspēju ierobežojumu strādāt pilnu darba laiku, LDDK ieskatā nav pamatoti. Turklāt, tas nonāktu pretrunā ar Darba likuma 134.panta otrajā  daļā noteikto likumdevēja mērķi. Tāpat LDDK ieskatā nav pamatoti likt darba devējam maksāt faktiskajam atalgojumam neatbilstošas - paaugstinātas sociālās apdrošināšanas iemaksas. Gluži pretēji – lai palielinātu iespējas sociāli īpaši aizsargājamu grupu personām iesaistīties darba tirgū, darba nodokļu slogam vajadzētu būt mazākam.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Darba likums paredz tiesības uz nepilna laika darbu darbiniekam, kuram ir bērns līdz 14 gadu vecumam. VSA likumā ir ietverta persona, kuras pašas vai laulātā algas nodokļu grāmatiņā ir reģistrēts bērns, kas nav sasniedzis triju gadu vecumu. Šajā pozīcijā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vecumgrupa – iztrūkst bērni vecumā no 4 līdz 14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 nosacījumi par reģistrāciju algas nodokļu grāmatiņā, kas īstenojot attiecībā uz pašu personu, izslēdz iespēju izmantot ne tikai pašas personas NM, bet arī atvieglojumu par apgādībā esošu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prasība, ka bērnam ir jābūt reģistrētam laulātā algas nodokļu grāmatiņā, vispār ir ārpus konteksta, jo faktiski izvirza prasību, ka personai ir jābūt laulātai tieši ar konkrētā bērna vecāku, kas ne vienmēr tā ir, un ne vienmēr ir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Darba likums paredz tiesības uz nepilna laika darbu darbiniekam, kuram ir bērns ar invaliditāti līdz 18 gadu vecumam. VSA likumā ir ietverta persona, kuras pašas vai laulātā algas nodokļu grāmatiņā ir reģistrēts nepilngadīgs bērns, kas saskaņā ar normatīvajiem aktiem ir atzīts par personu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nosacījumi par reģistrāciju algas nodokļu grāmatiņā, kas īstenojot attiecībā uz pašu personu, izslēdz iespēju izmantot ne tikai pašas personas NM, bet arī atvieglojumu par apgādībā esošu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prasība, ka bērnam ir jābūt reģistrētam laulātā algas nodokļu grāmatiņā, vispār ir ārpus konteksta, jo faktiski izvirza prasību, ka personai ir jābūt laulātai tieši ar konkrētā bērna vecāku, kas ne vienmēr tā ir, un ne vienmēr ir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Darba likums paredz tiesības uz nepilna laika darbu darbiniekam, kura kā vecāka aprūpē ir tāda pilngadīga persona ar invaliditāti no bērnības, kurai nepieciešama īpaša kopšana. VSA likumā šī grupa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pieņemot vispārējo regulējumu par minimālajām VSAOI, tas ir ticis izdiskutēts Nacionālās trīspusējās sadarbības padomes Budžeta un nodokļu apakšpadomes sanāksmēs, jāpaskaidro, ka tas pats par sevi nav arguments uzturēt sistēmu, kas ir pretrunā ar Darba likumu un ierobežo sociāli īpaši aizsargājamu grupu personām iesaistīties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daļu no Darba likuma 134.panta otrajā daļā ietvertajām sociālajam grupām nav iespējams identificēt, jo Valsts sociālās apdrošināšanas aģentūras ietvaros nenotiek šādu personu uzskaite jānorāda, ka valsts rīcībā ir dati, kas ļauj  identificēt un  katru no šīm grupām, bet informācijas apmaiņa nenotiek, jo esošā regulējuma ietvaros tā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norādi, ka paplašinot personu loku, par kurām nav jāveic minimālās VSAOI, samazināsies ieņēmumi sociālās apdrošināšanas speciālajos budžetos, un pašreiz nav paredzēts sociālās apdrošināšanas speciālo budžetu ieņēmumu samazinājumu kompensējošs mehānisms, kas segtu neieņemtos ieņēmumus,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Sociālās apdrošināšanas speciālā budžeta bilance pati par sevi nedrīkst būt šķērslis sociāli mazaizsargātu grupu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likumā “Par valsts budžetu 2026. gadam un budžeta ietvaru 2026., 2027. un 2028. gadam”, šogad speciālā budžeta ieņēmumi par 448 miljoniem pārsniedz speciālā budžeta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Iemaksām speciālajā budžetā vismaz teorētiski pretī vajadzētu būt iemaksām proporcionāliem sociālās apdrošināšanas pakalpojumiem. Tātad, ja ir mazākas iemaksas, pretī ir jāsniedz iemaksu līmenim atbilstīgi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Ir jāņem vērā, ka tiklīdz persona uzsāk strādāt, darba devējs par šo personu uzsāk veikt VSAOI. Un, pat ja šīs iemaksas tiek veiktas no nepilna minimālā VSAOI, tās ar uzviju izkompensēs iespējamo speciālā budžeta ieņēmumu daļu, ko šobrīd nodrošina darba devēju virsmaksājums.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Papildus jānorāda, ka mazaizsargāto sociālo grupu personu iesaistei darba tirgū būs pozitīva ietekme uz valsts bilanci kopumā,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Mazināsies nepieciešamība pēc ienākumvērtētiem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Pieaugs pievienotās vērtības un citu patēriņa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Vēl viens būtisks aspekts ir tas, ka, iesaistot  atsevišķām VSA likuma 19.pantā sociālajām grupām piederīgas personas darba tirgū, samazināsies nepieciešamība par tām veikt iemaksas no valsts pamatbudžeta un valsts sociālās apdrošināšanas speciālajiem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Tomēr pats svarīgākais ir nodrošināt iespēju iesaistīties darba tirgu savu iespēju robežās katram, kurš to vēlas.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Rīcības virziena “Ilgtspējīgs, stabils un adekvāts materiālais atbalsts, kas nodrošina pietiekamu ekonomisko neatkarību” Tabulā “Politikas rezultāti un rezultatīvie rādītāji” izmantotajiem datiem.  Jānorāda, ka t.s. OECD modificētā ekvivalences skala neatbilst Latvijas mājsaimniecību izdevumu struktūrai, kur ir ievērojami augstāks t.s. neatraidāmo izdevumu īpatsvars (skat., piemēram Engela likumu) . Īpaši augsta neatbilstība ir bērniem piemērotais ekvivalences koeficients – 18% no mediānas nav bērna nabadzības riska robeža, bet gan dziļa nabadzība, par ko nepārprotami liecina Labklājības ministrijas pasūtītā 2019.-2021.  pētījuma, kas veikts projekta “Jaunas metodoloģijas izstrāde iztikas minimuma patēriņa preču un pakalpojumu groza noteikšanai un tās aprobācija” rezultātā izstrādātais "Mājsaimniecību relatīvo izdevumu budžets" (MRIB). Bērniem piemērotais ekvivalences koeficients – 18% no mediānas, kas šogad ir 153 euro nesedz pat 7 līdz 14 gadu veca bērna pārtikas groza vērtību, kas saskaņā ar MRIB 2024.gada cenās bija 175 euro. Tas nepārprotami liecina, ka uz OECD modificētās ekvivalences skalas balstītos rezultātus var izmantot salīdzināmās starpvalstu statistikas vajadzībām ES ietvaros, bet tie nav izmantojami sociālās politikas veidošanai, jo uz to bāzes nevar izveidot ilgtspējīgu, stabilu un adekvātu materiālo atbalstu, kas nodrošina pietiekamu ekonomisko neatkarību, jo īpaši mājsaimniecībām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6.Rindkopā minētajiem pasākumiem pensijas adekvātuma palielināšanai LM piedāvātajā redakcijā. LDDK norādīja, ka attiecībā uz indeksāciju ka netiek nodrošināta visu pensiju pirktspējas uzturēšana uz darba devēju un darba ņēmēju veiktajām iemaksām balstītajā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skaidrojums, ka pēc 2024.gada 4.decembrī Saeima pieņemtajiem grozījumiem likumā “Par valsts pensijām”, ar kuriem būtiski paaugstināja pensijas indeksējamo robežu, kā Rezultātā no 2025.gadā tika indeksētas 98% vecuma pensiju saņēmējiem, LDDK ieskatā neattaisno to, ka 2% netika indeksēta visa pensija, jo viņu pensija ir lielāka par indeksējamo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Latvijā no 1996.gada ir ieviesta pensiju kapitāla sistēma, kuras ietvaros nodarbinātās personas, viņu darba devēji u.c. veic obligātās sociālās apdrošināšanas iemaksas (VSAOI). Daļa no iemaksām (šogad 23,91 procentpunkts) tiek novirzītas pensiju nodrošināšanai. Daļa no pensijām novirzītajām iemaksām (šogad 5 procentpunkti) tiek novirzīta personas otrā līmeņa pensijas kapitālam. Pārējā daļa (šogad 18,91 procentpunkts) tiek novirzīta esošās pensiju sistēmas uzturēšanai tā saucamās paaudžu solidaritātes sistēmas ietvaros. Tikai daļa no šiem – paaudžu solidaritātes sistēmas nodrošināšanai novirzītajiem līdzekļiem ir individualizēta (šogad 15 procentpunkti) un tiek uzskaitīta kā personas pirmā pensiju līmeņa  pensiju kapitāls personas nākotnes pensijas aprēķināšanai. Savukārt pārējie 3,91 procentpunkti nav individualizēti un tiek novirzīti ar pašas personas pensiju nesaistītiem mērķiem. No tā izriet, ka persona darbmūža laikā paaudžu solidaritātes sistēmas ietvaros samaksā ievērojami (šogad par 28%) vairāk, nekā valsts ieskaita pašas personas pirmā līmeņa virtuālajā kapitālā. Ņemot vērā, ka uz iemaksām balstīta pensijas sistēma ir ļoti ilga termiņa projekts (vidēji aptuveni 40 gadi ir uzkrāšanas periods un nepilni 20 gadi saņemšanas periods, kas nozīmē, ka no pirmās iemaksas līdz pēdējai izmaksai vidēji paiet 60 gadi), tad, lai nodrošinātu iemaksu un izmaksu paritāti, pensiju kapitāls un pensijas tiek indeksētas ņemot vērā naudas pirktspējas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Latvijā finanšu krīzes laikā (no 2009.gada 1.janvāra līdz 2012.gada 31.decembrim katru gadu ) indeksācija tika apturēta. 2013.gadā indeksēja pensijas, kuru apmērs nepārsniedza 200 latus. Savukārt 2014.gadā tika ieviests nosacījums, ka indeksē pensiju vai tās daļas apmēru, kas nepārsniedz 50 procentus no iepriekšējā kalendāra gada vidējās apdrošināšanas iemaksu algas valstī. Šāds modelis nozīmē to, ka personas, kuras veikušas lielāku ieguldījumu paaudžu solidaritātes sistēmas uzturēšanai, daļu no savas pensijas saņem ieguldījumam neatbilstīgā naudas pirktspējas līmenī. Šāds modelis, kā īstermiņa risinājums ir pieļaujams īpašās krīzes situācijās, savukārt, pielietojot to ilgā termiņā, plaisa starp veikto iemaksu un saņemtās pensijas pirktspēju pieaug ļoti būtiski. Ar to valsts netaisnīgā veidā faktiski samazina to personu pensijas, kuras darbmūža laikā ir devušas lielāku ieguldījumu pensiju nodrošināšanai iepriekšējai paaudzei. Turklāt, šobrīd pensiju likuma 26.pantā ietvertais nosacījums ir būtiskā pretrunā ar citu normatīvo aktu - Valsts un pašvaldību institūciju amatpersonu un darbinieku atlīdzības likumu, kurā nav ietverts nosacījums, ka koeficientu pret bāzes mēnešalgas apmēru piemēro tikai tai atalgojuma daļai, kas nepārsniedz 50 procentus no iepriekšējā kalendāra gada vidējās apdrošināšanas iemaksu algas valstī, savukārt otra puse no algas ir tikai bāzes mēnešalgas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Atšķirīgu indeksācijas sistēmu pielietošanas rezultātā pēdējo 10 gadu laikā ir izveidojies nesamērīgi liels disbalanss starp pensiju un amatpersonu atalgojuma pirktspējas paritāti (skat. attēlu). Piemēram, ja amatpersonas pamatatalga 2013.gadā bija 2000 euro mēnesī, šogad tā ir 4240 euro. Nomināla pieaugums par 112%. Savukārt identiskai pensijai nomināla pieaugums par 13%, kas ir astoņas reizes mazāks, nekā vienāda lieluma  pamatalgai, kā rezultātā inflācijas ietekmē pensijas pirktspēja ar katru gadu samazinās. 2.4. Pieņemot, ka vidējais prognozētais pensijas saņemšanas periods ir 18 gadi, inflācijas ietekme uz pensiju neindeksēto daļu ir graujoša. Ar šādu pieeju valsts no vienas puses teorētiski aicina strādāt ilgāk un veikt iemaksas no visas algas, bet faktiski dod signālu: ja iemaksāsiet vairāk, tad tas tiks atņemts.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Jānorāda, ka, lai nodrošinātu pensiju, kas pārsniedz šobrīd piemērotos  indeksācijas “griestus”, personai ir jāstrādā ievērojami ilgāk, nekā minimālais kvalifikācijas stāžs, turklāt, personai un tās darba devējam nodokļos ir jāsamaksā vismaz 2,4 reizes vairāk, nekā tiek ieskaitīts pašas personas pensijas kapitālā. Vienīgais izņēmums ir relatīvi lielās pensijas, kas ir balstītas uz īstermiņa iemaksām pensijas sākumkapitālā (laika posmā no 1996. līdz 1999.gadam veiktās iemaksas attiecināja uz visu iepriekšējo periodu, kas ļāva ar relatīvi nelielām iemaksām panākt augstu pensiju, kuru izmaksas faktiski tiek nodrošinātas no citu personu iemaksām. Tā ir vienīgā pensijas daļa, kurai varētu piemērot indeksācijas ierobežojumus, bet to nedrīkst attiecināt uz to pensijas daļu, kas ir “nosegta” ar reālām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Jāņem vērā arī Satversmes tiesas atziņas, ka tiesības uz pensijas izmaksu neatkarīgi no pensijas piešķiršanas datuma vai finansēšanas avota ietilpst Satversmes 105. panta pirmajā teikumā ietvertā jēdziena „īpašums” ((sk. Satversmes tiesas spriedumu lietā Nr. 2007-01-01, vai, piemēram, spriedumu lietā Nr. 2010-21-01), kas ir viena no pamattiesībām. Satversmes tiesa arī atzinusi, ka Satversmes 109. pants sociālo tiesību jomā personai nodrošina lielāku tiesību aizsardzības apjomu nekā Satversmes 105. pants. Savukārt Ikviena pamattiesību ierobežojuma pamatā ir jābūt apstākļiem un argumentiem,  kādēļ  tas  vajadzīgs,  proti,  ierobežojumam  jābūt  noteiktam svarīgu interešu –leģitīma mērķa –labad (skat. Satversmes tiesas 2009.gada 21.decembra sprieduma lietā Nr.2009-43-01 u.c.). Iespējamais leģitīmais mērķis šajā gadījumā varētu būt pensiju speciālā budžeta maksātspējas nodrošināšana. Kā zināms, pēdējos gados ir būtisks pensiju speciālā budžeta pārpalikums. Piemēram, šogad pensiju speciālā budžeta pārpalikums ir 432 miljoni euro. Tie ir līdzekļi, kas šobrīd netiek izmantoti to likumā noteiktajam pamatmērķim, bet valsts pamatbudžeta izdevumu izbalansēšanai, tostarp atlīdzības nodrošināšnai valsts pārvaldē nodarbinātajām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 taisnīguma skatpunkta būtiskākais ir vismaz novērst šobrīd pastāvošo atšķirību starp valsts un pašvaldību institūciju amatpersonu un darbinieku atlīdzības indeksāciju un pensiju indeksāciju. To var veikt divos veidos ar iespējamām modifikācijām.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variants ir attiecināt uz valsts un pašvaldību institūciju amatpersonu un darbinieku atlīdzības indeksāciju tos pašus nosacījumus, kādi tiek piemēroti pensiju indeksācijai (indeksē tikai to atalgojuma daļu, kas nepārsniedz vidējo iemaksu algu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variants ir pensiju indeksācijai izbeigt piemērot krīzes laika indeksācijas kārtību un ar apsteidzošu indeksāciju kompensēt zaudēto.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Vēl viens neatrisināts jautājums ir t.s. solidaritātes nodokļa pensiju budžetam piekritīgās daļas individualizēšanu (ieskaitīšanu personas virtuālajā pensiju 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Kopumā augšminētie apstākļi mazina iespējas iesaistīties darba tirgū vairākām sociālajām grupām, kurām tas ir ļoti svarīgi, kā arī mazina motivāciju veikt sociālās apdrošināšanas iemaksas no ienākumiem, kas pārsniedz vidējo iemaksu algu.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iepazīties ar Sociālās aizsardzības un darba tirgus politikas pamatnostādnēm 2021.-2027. gadam, kā arī šī ziņojuma izstrādes mērķi un tajā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ir novērtēt pamatnostādņu ietvaros sasniegto, kā arī izvirzīto izaicinājumu aktualitāti kontekstā ar izmaiņām un tendencēm Latvijā un pasaulē, lai identificētu nepieciešamās korekcijas politikas ieviešanā un iezīmētu virzienus nākamajam plānošanas periodam. Ministrija ir fiksējusi izteiktos viedokļus, identificējusi problēmjautājumus un rekomendācijas nākamajam periodam. Precīzi pasākumi tiks definēti un detalizēti apspriesti jaunā politikas plānošanas dokumenta izstrādes vai atsevišķi iniciēta procesa ietvaros. Vēršam uzmanību, ka informatīvais ziņojums nav jauns plāns ar konkrētiem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LDDK kā vienu no sociālajiem partneriem izmantot atbilstošos diskusiju formātus savu priekšlikumu virzībai par nepieciešamajiem grozījumiem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LDDK viedoklis par OECD modificētās ekvivalences skalas un EU-SILC rādītāju neatbilstību tika sniegts Sociālās aizsardzības un darba tirgus politikas pamatnostādņu 2021.-2027. gadam saskaņošanas laikā un 09.07.2021. saskaņošanas sanāksmē tika panākta vienošanās, ka 2.pielikums tiek papildināts ar izziņā sniegto skaidrojumu par ekvivalences skalas piemērošanu un nabadzības riska sliekšņa un minimālā ienākumu līmeņa absolūtām vērtībām 2019.gadā un  LDDK iebildumu neuztur, nav saprotams LDDK pamatojums noliegt savu iepriekš sniegto viedokli un saskaņojumu.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sadaļas “Statistikas dati” (55.lpp.) 1. attēla diagrammā norādīti dati par nabadzības riska indeksu pēc mājsaimniecības tipa par 2019. un 2023.gadu, savukārt 1. attēla tabulā norādīti dati par 2019. un 2024.gadu, lūdzam salāgot diagrammā un 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Precizēšana nav nepieciešama. 55.lp. iepriekš track changes režīmā bija dzēsts attēls ar 2023.gada datiem, tā vietā ievietota jauna tabula ar 2024.gada datiem.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sadaļas “Statistikas dati” (66.lpp) 35.attēla tabula tika papildināta ar Džini koeficienta Latvijā datiem par 2024.gadu, lūdzam papildināt informatīvā ziņojuma projekta sadaļas “1. Rīcības virziens: Ilgtspējīgs, stabils un adekvāts materiālais atbalsts, kas nodrošina pietiekamu ekonomisko neatkarību” apakšsadaļas “Secinājumi un priekšlikumi turpmākai rīcībai” punktā “Zems vidējais ienākumu līmenis un augsta ienākumu koncentrācija”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nav pieejami dati par Džinī koeficientu citās ES dalībvalstīs, tādēļ nav iespējams salīdzināt tos ar Latvijas 2024. gada rādītāju, un 1. rīcības virziena secinājumos saglabāta sākotnējā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19.12.2025. 12:40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rīcības virziena nodaļas "Pasākumu efektivitāte" 3. punktā (25. lp.) precizēt formulējumu “[..] iegūt profesionālos sertifikātus”. Skaidrojam, ka Latvijas izglītības sistēmā un normatīvajā regulējumā jēdziens “profesionālie sertifikāti” nav definēts un tā lietošana var radīt maldīgu priekšstatu par dokumenta statusu. Latvijas kontekstā tas var tikt saprasts kā valsts atzīts profesionālās kvalifikācijas apliecinošs dokuments ar noteiktu tiesisko statusu un atzīšanas kārtību, savukārt Google/Coursera programmu gadījumā parasti tiek izsniegti mācību programmu pabeigšanas apliecinājumi vai platformas/uzņēmuma izsniegti apliecinājumi. Tādēļ lūdzam attiecīgo formulējumu pielāgot tā, lai tas atbilstu Latvijas izglītības sistēmas terminoloģijai un nepārprotami norādītu izsniedzamā dokumenta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rīcības virziena nodaļā “Pasākumu efektivitāte” 4. punktā (25. lpp.) svītrot apgalvojumu “sniedzot ieguldījumu arī pieaugušo izglītībā un pārkvalifikācijā Latvijā”. Eiropas Komisijas Tehniskā atbalsta instrumenta projekts “Latvijas nodarbinātības dienesta digitālo sistēmu modernizēšana” bija vērsts uz Nodarbinātības valsts aģentūras digitālās infrastruktūras, datu apstrādes, digitālo pakalpojumu un informācijas sistēmu pilnveidi. Tā ietvaros netika tieši īstenotas vai finansētas izglītības programmas pieaugušajiem, kā arī netika sniegts tiešs ieguldījums šīs jomas saturiskajā attīstībā. Līdz ar to minētais formulējums var radīt maldinošu priekšstatu par projekta tvērumu un ietekmi. Vienlaikus lūdzam pārbaudīt saiti 49. atsaucē.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lpp. minēts: “</w:t>
            </w:r>
            <w:r w:rsidR="00000000" w:rsidRPr="00000000" w:rsidDel="00000000">
              <w:rPr>
                <w:i w:val="1"/>
                <w:rtl w:val="0"/>
              </w:rPr>
              <w:t xml:space="preserve">Veikti pasākumi pensijas adekvātuma palielināšanai un senioru nabadzības risku mazināšanai: 1) ikgadēji tiek veikta pensiju indeksācija, savukārt 2022. gadā pat divreiz palielināts neapliekamais pensiju minimums</w:t>
            </w:r>
            <w:r w:rsidR="00000000" w:rsidRPr="00000000" w:rsidDel="00000000">
              <w:rPr>
                <w:rtl w:val="0"/>
              </w:rPr>
              <w:t xml:space="preserve">”. Vēršam uzmanību, ka no minētā nav viennozīmīgi skaidri saprotams, kas ir domāts “</w:t>
            </w:r>
            <w:r w:rsidR="00000000" w:rsidRPr="00000000" w:rsidDel="00000000">
              <w:rPr>
                <w:i w:val="1"/>
                <w:rtl w:val="0"/>
              </w:rPr>
              <w:t xml:space="preserve">neapliekamais pensiju minimums</w:t>
            </w:r>
            <w:r w:rsidR="00000000" w:rsidRPr="00000000" w:rsidDel="00000000">
              <w:rPr>
                <w:rtl w:val="0"/>
              </w:rPr>
              <w:t xml:space="preserve">”. Tādējādi lūdzam to precizēt skaidrāk. Ja minētajā teikumā ir domāts pensionāra ar iedzīvotāju ienākuma nodokli neapliekamais minimums, lūdzam minētajā teikumā aizstāt skaitli un vārdus “</w:t>
            </w:r>
            <w:r w:rsidR="00000000" w:rsidRPr="00000000" w:rsidDel="00000000">
              <w:rPr>
                <w:i w:val="1"/>
                <w:rtl w:val="0"/>
              </w:rPr>
              <w:t xml:space="preserve">2022. gadā pat divreiz palielināts neapliekamais pensiju minimums</w:t>
            </w:r>
            <w:r w:rsidR="00000000" w:rsidRPr="00000000" w:rsidDel="00000000">
              <w:rPr>
                <w:rtl w:val="0"/>
              </w:rPr>
              <w:t xml:space="preserve">” ar skaitli un vārdiem “</w:t>
            </w:r>
            <w:r w:rsidR="00000000" w:rsidRPr="00000000" w:rsidDel="00000000">
              <w:rPr>
                <w:i w:val="1"/>
                <w:rtl w:val="0"/>
              </w:rPr>
              <w:t xml:space="preserve">2022. gadā pat divreiz palielināts pensionāra ar iedzīvotāju ienākuma nodokli neapliekamais minimums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 lpp. minēts: “</w:t>
            </w:r>
            <w:r w:rsidR="00000000" w:rsidRPr="00000000" w:rsidDel="00000000">
              <w:rPr>
                <w:i w:val="1"/>
                <w:rtl w:val="0"/>
              </w:rPr>
              <w:t xml:space="preserve">Diskusiju dalībnieki norādīja, ka pašreizējā demogrāfiskajā situācijā būtu jāpārskata atvieglojuma apmērs par apgādībā esošu personu, to palielinot.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 pašreiz ir vienīgā no Baltijas valstīm, kurā tiek piemērots iedzīvotāju ienākuma nodokļa atvieglojums par bērniem. Uzsveram, ka atvieglojumu par apgādībā esošu personu pilnībā iespējams izmantot tikai tad, ja nodokļa maksātāja ienākumi ir pietiekami lieli. Augot nodokļa maksātāja ienākumiem, aug iespēja pilnīgi izmantot minēto atvieglojumu par vairākām personām, savukārt personām ar zemiem ienākumiem, vai tad, ja persona vispār negūst ar iedzīvotāju ienākuma nodokli apliekamus ienākumus, šādu iespēju nav (šajā gadījumā lielāka nozīme ir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datiem uz 2025. gada 1. janvāri par 11,4% apgādībā esošām personām apgādnieks atvieglojumu par apgādībā esošu personu nepiemēroja (jeb atvieglojumu neizmantoja nemaz), jo viņu ienākumi 2024. gadā bija zemāki par minimālās algas apmēru. Aptuveni 75% nodarbināto ar vienu apgādībā esošu personu pilnībā spēj izmantot esošu minētā atvieglojuma apmēru, bet nodarbinātie ar trīs apgādībā esošam personām vairs tikai 58%. Šis īpatsvars ar katru jaunu apgādībā esošu personu būtiski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atvieglojuma par apgādībā esošu personu apmēra palielināšana nesasniedz mērķi, jo lielai daļai nodarbināto ar apgādībā esošām personām labklājības līmenis netiks paaugstināts, bet tas paliks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ir īsi apkopots diskusijas dalībnieku – galvenokārt nevalstisko organizāciju un sociālo partneru – viedoklis. Projekts papildināts ar Finanšu ministrijas piezīmi par izteikto priekšlikumu.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 lpp. minēts: “</w:t>
            </w:r>
            <w:r w:rsidR="00000000" w:rsidRPr="00000000" w:rsidDel="00000000">
              <w:rPr>
                <w:i w:val="1"/>
                <w:rtl w:val="0"/>
              </w:rPr>
              <w:t xml:space="preserve">Lai gan personu ar invaliditāti nodarbinātības rādītāji ir uzlabojušies, diskusijās ar partneriem un NVO izteikts pieņēmums, ka tie varētu būt pat vēl augstāki, taču esošā nepilna laika nodarbinātības </w:t>
            </w:r>
            <w:r w:rsidR="00000000" w:rsidRPr="00000000" w:rsidDel="00000000">
              <w:rPr>
                <w:i w:val="1"/>
                <w:u w:val="single"/>
                <w:rtl w:val="0"/>
              </w:rPr>
              <w:t xml:space="preserve">nodokļu sistēma</w:t>
            </w:r>
            <w:r w:rsidR="00000000" w:rsidRPr="00000000" w:rsidDel="00000000">
              <w:rPr>
                <w:i w:val="1"/>
                <w:rtl w:val="0"/>
              </w:rPr>
              <w:t xml:space="preserve"> nav labvēlīga senioru un personu ar invaliditāti nodarbināšanai.</w:t>
            </w:r>
            <w:r w:rsidR="00000000" w:rsidRPr="00000000" w:rsidDel="00000000">
              <w:rPr>
                <w:rtl w:val="0"/>
              </w:rPr>
              <w:t xml:space="preserve">”. Norādām, ka no minētā nav viennozīmīgi skaidri saprotams, kas ir domāts “</w:t>
            </w:r>
            <w:r w:rsidR="00000000" w:rsidRPr="00000000" w:rsidDel="00000000">
              <w:rPr>
                <w:i w:val="1"/>
                <w:rtl w:val="0"/>
              </w:rPr>
              <w:t xml:space="preserve">esošā nepilna laika nodarbinātības </w:t>
            </w:r>
            <w:r w:rsidR="00000000" w:rsidRPr="00000000" w:rsidDel="00000000">
              <w:rPr>
                <w:i w:val="1"/>
                <w:u w:val="single"/>
                <w:rtl w:val="0"/>
              </w:rPr>
              <w:t xml:space="preserve">nodokļu sistēma</w:t>
            </w:r>
            <w:r w:rsidR="00000000" w:rsidRPr="00000000" w:rsidDel="00000000">
              <w:rPr>
                <w:rtl w:val="0"/>
              </w:rPr>
              <w:t xml:space="preserve">”. Tādējādi lūdzam to šo teikumu precizēt skaidrāk.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iedzīvotāju ienākuma nodokļa piemērošanu ir noteikti iedzīvotāju ienākuma nodokļa atvieglojumi, īpaši mazāk aizsargātām personu grupām, piemēram, pensionāriem un personām ar invaliditāti. Atzīmējam, ka no 2026. gada ar iedzīvotāju ienākuma nodokli neapliekamais minimums ir 550 </w:t>
            </w:r>
            <w:r w:rsidR="00000000" w:rsidRPr="00000000" w:rsidDel="00000000">
              <w:rPr>
                <w:i w:val="1"/>
                <w:rtl w:val="0"/>
              </w:rPr>
              <w:t xml:space="preserve">euro </w:t>
            </w:r>
            <w:r w:rsidR="00000000" w:rsidRPr="00000000" w:rsidDel="00000000">
              <w:rPr>
                <w:rtl w:val="0"/>
              </w:rPr>
              <w:t xml:space="preserve">mēnesī. Pensionāra neapliekamais minimums ir 1000 </w:t>
            </w:r>
            <w:r w:rsidR="00000000" w:rsidRPr="00000000" w:rsidDel="00000000">
              <w:rPr>
                <w:i w:val="1"/>
                <w:rtl w:val="0"/>
              </w:rPr>
              <w:t xml:space="preserve">euro </w:t>
            </w:r>
            <w:r w:rsidR="00000000" w:rsidRPr="00000000" w:rsidDel="00000000">
              <w:rPr>
                <w:rtl w:val="0"/>
              </w:rPr>
              <w:t xml:space="preserve">mēnesī. Savukārt personām ar invaliditāti ir noteikts iedzīvotāju ienākuma nodokļa papildu atvieglojums: 154 </w:t>
            </w:r>
            <w:r w:rsidR="00000000" w:rsidRPr="00000000" w:rsidDel="00000000">
              <w:rPr>
                <w:i w:val="1"/>
                <w:rtl w:val="0"/>
              </w:rPr>
              <w:t xml:space="preserve">euro </w:t>
            </w:r>
            <w:r w:rsidR="00000000" w:rsidRPr="00000000" w:rsidDel="00000000">
              <w:rPr>
                <w:rtl w:val="0"/>
              </w:rPr>
              <w:t xml:space="preserve">mēnesī – personai, kurai ir noteikta I vai II invaliditātes grupa, un 120 </w:t>
            </w:r>
            <w:r w:rsidR="00000000" w:rsidRPr="00000000" w:rsidDel="00000000">
              <w:rPr>
                <w:i w:val="1"/>
                <w:rtl w:val="0"/>
              </w:rPr>
              <w:t xml:space="preserve">euro </w:t>
            </w:r>
            <w:r w:rsidR="00000000" w:rsidRPr="00000000" w:rsidDel="00000000">
              <w:rPr>
                <w:rtl w:val="0"/>
              </w:rPr>
              <w:t xml:space="preserve">mēnesī – personai, kurai ir noteikta III invaliditātes grupa. Vienlaikus vēlamies atzīmēt, ka iedzīvotāju ienākuma nodokļa atvieglojumi jāskata kompleksi ar citiem nodokļu atbrīvojumiem un valdības noteiktajām prioritātēm, kā arī ir diskutējami kontekstā ar turpmāko gadu budžeta iespēju un fiskālās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Vēršam uzmanību, ka šajā sadaļā ir īsi apkopots diskusijas dalībnieku redzējums par paveikto vai nepieciešamajiem pasākumiem spēkā esošo pamatnostādņu vai nākamā politikas plānošanas dokumenta darbības periodā.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45. lpp. minēts: “</w:t>
            </w:r>
            <w:r w:rsidR="00000000" w:rsidRPr="00000000" w:rsidDel="00000000">
              <w:rPr>
                <w:i w:val="1"/>
                <w:rtl w:val="0"/>
              </w:rPr>
              <w:t xml:space="preserve">Tomēr ievērojot pētījumus un prognozes, nākamajā politikas plānošanas dokumentā būtu jāietver papildu rīcības virzieni vai lielāks uzsvars jāliek uz starpresoru sadarbību, t.sk. [..] Finanšu ministriju (lai izskatītu iespējas stiprināt sociālās aizsardzības sistēmas finanšu noturību un elastību, kā arī </w:t>
            </w:r>
            <w:r w:rsidR="00000000" w:rsidRPr="00000000" w:rsidDel="00000000">
              <w:rPr>
                <w:i w:val="1"/>
                <w:u w:val="single"/>
                <w:rtl w:val="0"/>
              </w:rPr>
              <w:t xml:space="preserve">izstrādātu mērķgrupas vajadzībām atbilstošāku nodokļu regulējumu)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īsti nav saprotams, par kādu mērķgrupas vajadzībām atbilstošāku nodokļu regulējuma izstrādāšanu ir domāts un, ko ar to ir plānots sasniegt. Lūdzam precizēt to skaidrāk.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sadarbības partneriem aktualizējās ar nodokļiem saistīti jautājumi. Ņemot vērā strauji mainīgo vidi un pieaugošo nepieciešamību pielāgoties jauniem apstākļiem, ir būtiski regulāri pārskatīt gan atbalsta pasākumus, gan nodokļu regulējumu. Laika gaitā nepieciešams arī izvērtēt iepriekš ieviesto nodokļu izmaiņu ietekmi un to, vai tās ir sasniegušas izvirzītos mērķus. Šajā kontekstā jēdziens “mērķgrupa” un vārdkopa "vajadzībām atbilstošāks nodokļu regulējums" tiek lietoti vispārīgā nozīmē, neattiecinot to uz kādu konkrētu sabiedrības daļu un pasākumu.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Dokumentā nav analizēta situācija un izteikti priekšlikumi saistībā ar likuma “Par valsts sociālo apdrošināšanu” 20.4 panta ceturtās daļas tvēruma neatbilstību Darba likuma 134.panta otrajā daļā ietverto regulējumu, kā rezultātā  Darba likuma 134.panta otrajā daļā minētajām sociālajām grupām ir augstāka barjera iekļūšanai darba tirgū (regulējums ir pretējs iekļaujošai nodarbinātībai.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virziens: “Ilgtspējīgs, stabils un adekvāts materiālais atbalsts, kas nodrošina pietiekamu ekonomisko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“Politikas rezultāti un rezultatīvie rādītāji” apakšp[ozīcijās 1.1. un 1.2.  Sociālo transfertu ietekmes uz nabadzības riska mazināšanu vērtēšanai, kā arī sadaļas"Statistikas dati"  1., 2., 5. un 12.attēlā tiek izmantots t.s. OECD modificētā ekvivalences skala, kas neatbilst Latvijas mājsaimniecību izdevumu struktūrai, it īpaši bērniem piemērotais ekvivalences koeficients – 18% no mediānas, kas nav bērna nabadzības riska robeža, bet gan dziļa nabadzība, par ko nepārprotami liecina Labklājības ministrijas pasūtītā 2019.-2021.  pētījuma, kas veikts projekta “Jaunas metodoloģijas izstrāde iztikas minimuma patēriņa preču un pakalpojumu groza noteikšanai un tās aprobācija” rezultātā izstrādātais "Mājsaimniecību relatīvo izdevumu budžets". Uz OECD modificētās ekvivalences skalas balstītos rezultātus var izmantot salīdzināmās statistikas vajadzībām, bet tie nav izmantojami sociālās politikas veidošanai. Savukārt, ja šos datus tomēr ietver politikas veidošanas dokumentos, tad paralēli ar tiem ir jābūt arī datiem, kas balstīti Latvijas reālajai situācijai atbilstīgajā pētījumā ""Mājsaimniecību relatīvo izdevumu budžets" ar attiecīgu inflācijas indeksu.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Rindkopa par Ģimenes valsts pabalsta reformu ir jāpapildina ar inflācijas ietekmi, kas kopš 2022. gada reformas ir būtiski mainījusi  ģimenes valsts pabalsta pirktspēju.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Rindkopā par piemaksām pie vecuma un invaliditātes pensijām, vārds “atsākta” [PL2]  ir aizvietojams ar vārdu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Rindkopā par pasākumu kopumu ar minimālo ienākumu reformu nesaistītas izmaiņas pabalstos, nepamatoti ir ietverta vārdkopa “universālie pabalsti, nav tieši vērsti uz konkrētām mērķgrupām[PL3] .”  Universālie pabalsti ir tieši vērsti uz konkrētām mērķgrupām pēc sociālās grupas pazīmes.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Rindkopā par pasākumiem pensijas adekvātuma palielināšanai attiecībā uz indeksāciju ir jānorāda, ka netiek nodrošināta visu pensiju pirktspējas uzturēšana uz darba devēju un darba ņēmēju veiktajām iemaksām balstītajā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Nav ņemts vērā.</w:t>
            </w:r>
            <w:r w:rsidR="00000000" w:rsidRPr="00000000" w:rsidDel="00000000">
              <w:rPr>
                <w:rtl w:val="0"/>
              </w:rPr>
              <w:t xml:space="preserve"> 2020.gada 27.novembrī tika pieņemti grozījumi likumā "Par valsts sociālo apdrošināšanu" (turpmāk - Likums), kas noteica, ka no 2021.gada 1.jūlija tiks ieviests minimālais valsts sociālās apdrošināšanas obligāto iemaksu (VSAOI) objekts. Minimālo VSAOI objekta ieviešanas mērķis ir nodrošināt valsts sociālās apdrošināšanas sistēmas ilgtspēju, paredzot, ka par visiem darbaspēka nodokļu maksātājiem, par kuriem netiek izmaksāta alga līdz minimālās mēneša darba algas apmēram, VSAOI tiek veiktas vismaz no minimālā VSAOI objekta. Likumā paredzētās minimālās VSAOI ir obligāts maksājums, ko par katru  sociāli apdrošināmo personu veic darba devējs. Minimālo VSAOI objekts ir noteikts ceturksnim un tas ir trīs minimālo mēneša darba algu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prezidenta aicinājumu, Finanšu ministrs 2021.gada 3.septembrī izveidoja darba grupu, kuras mērķis bija izstrādāt priekšlikumus minimālo VSAOI objekta regulējuma pilnveidei. Darba grupā bija iekļauti pārstāvji gan no valsts institūcijām, gan nevalstisko institūciju pārstāvji. Atbilstoši darba grupā lemtajam, Labklājības ministrija izstrādāja likumprojektu “Grozījumi likumā “Par valsts sociālo apdrošināšanu””, kas bija vērsts uz VSAOI minimālā objekta pilnveidošanu, ko 2021.gada 8.decembrī pieņēma arī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20.4 panta ceturtā daļa paredz plašu personu loku, par kurām minimālās VSAOI neveic. Šāds regulējums tika ieviests jau sākotnēji (pieņemot vispārējo regulējumu par minimālajām VSAOI) un tas ir ticis izdiskutēts Nacionālās trīspusējās sadarbības padomes Budžeta un nodokļu apakšpadomes sanāksmēs, diskutējot par minimālo VSAOI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loka, par kurām nav jāveic minimālās VSAOI, paplašināšanu ar personām, kuras ir minētas Darba likuma 134.panta otrajā daļā, informējam, ka strādājošām personām VSAOI neveikšana vismaz minimālā apmērā, liegs saņemt pilnvērtīgu sociālo aizsardzību, apdrošināšanas gadījuma iestāšanās brīdī. Vienlaicīgi vēršam uzmanību uz to, ka vairākas no Darba likuma 134.panta otrajā daļā ietvertajām sociālajam grupām Valsts sociālās apdrošināšanas aģentūras ietvaros nav iespējams identificēt, jo nenotiek šādu personu uzskaite un informācijas apmaiņa par šādu personu loku. Līdz ar to arī nav iespējams administrēt šādu personu grupu nodarbinātību, ienākumu apmērus un citus viņus skarošos ekonomiskos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paplašinot personu loku, par kurām nav jāveic minimālās VSAOI, samazināsies ieņēmumi sociālās apdrošināšanas speciālajos budžetos, taču pašreiz nav paredzēts sociālās apdrošināšanas speciālo budžetu ieņēmumu samazinājumu kompensējošs mehānisms, kas segtu neieņemtos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minēto, pašreiz nav ne tiesiska, ne juridiska, ne ekonomiska pamata personu loka, par kurām nav jāveic minimālās VSAOI,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Nav ņemts vērā.</w:t>
            </w:r>
            <w:r w:rsidR="00000000" w:rsidRPr="00000000" w:rsidDel="00000000">
              <w:rPr>
                <w:rtl w:val="0"/>
              </w:rPr>
              <w:t xml:space="preserve"> Sociālās politikas veidošanā ir jāņem vērā gan nacionālie rādītāji, gan starpvalstu salīdzināmie indikatori, jo ne vienmēr nacionālajos datos ir pieejama statistika par kādu mērķa grupu vai problemātiku. Piemēram, sociālo transfertu ietekmi uz nabadzības riska indeksu nacionālajos rādītājos identificēt nevar. Tāpēc ministrija izmantos un analizēs arī starpvalstu rādītājus, kur iespējams, papildinot ar nacionālajiem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Ņemts vērā. </w:t>
            </w:r>
            <w:r w:rsidR="00000000" w:rsidRPr="00000000" w:rsidDel="00000000">
              <w:rPr>
                <w:rtl w:val="0"/>
              </w:rPr>
              <w:t xml:space="preserve">Projekts 1.rīcības virziena secinājumu daļa papildināta ar šādu tekstu: “Analizējot mājsaimniecību relatīvo izdevumu (turpmāk – MRI) budžeta vērtību izmaiņas 2000.-2024.gadā, secināms, ka cenu pieaugums pārtikas groziem atkarībā no vecuma četru gadu laikā (kopš 2020.gada) ir 43,9-45,2%, savukārt MRI budžeta nepārtikas daļai atkarībā no mājsaimniecības tipa un dzīvesvietas kopš 2020.gada pieaugusi par 34-52%. Mājsaimniecību rīcībā esošie ienākumi vidēji uz vienu mājsaimniecības locekli 2020.-2024.gadu periodā palielinājās par 50 % (1.kvintilē – par 48 %). Tādējādi ienākumu pieaugumu iedzīvotāji ikdienā neizjuta, jo patēriņa cenu palielinājums ir bijis līdzvērtīgs ienākuma pieauguma vērtībai.”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Ņemts vērā.</w:t>
            </w:r>
            <w:r w:rsidR="00000000" w:rsidRPr="00000000" w:rsidDel="00000000">
              <w:rPr>
                <w:rtl w:val="0"/>
              </w:rPr>
              <w:t xml:space="preserve"> Precizēts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Ņemts vērā. </w:t>
            </w:r>
            <w:r w:rsidR="00000000" w:rsidRPr="00000000" w:rsidDel="00000000">
              <w:rPr>
                <w:rtl w:val="0"/>
              </w:rPr>
              <w:t xml:space="preserve">Precizēts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Nav ņemts vērā. </w:t>
            </w:r>
            <w:r w:rsidR="00000000" w:rsidRPr="00000000" w:rsidDel="00000000">
              <w:rPr>
                <w:rtl w:val="0"/>
              </w:rPr>
              <w:t xml:space="preserve">Skaidrojam, ka 2024.gada 4.decembrī Saeima pieņēma grozījumus likumā “Par valsts pensijām”, ar kuriem būtiski paaugstināja pensijas indeksējamo robežu. Rezultātā no 2025.gada valsts pensiju vai tās daļas apmēru, kas nepārsniedz iepriekšējā kalendāra gada vidējās apdrošināšanas iemaksu algas valstī apmēru (noapaļotu līdz veseliem euro),  pārskata 1. oktobrī, ņemot vērā faktisko patēriņa cenu indeksu un daļu no apdrošināšanas iemaksu algas reālā pieauguma procentiem. Iepriekš tika pārskatīta pensija vai tās daļa, kas nepārsniedz 50% no iepriekšējā kalendāra gada vidējās apdrošināšanas iemaksu algas valstī. Ar šiem grozījumiem pensijas pilnā apmērā 2025.gadā tika indeksētas 98% vecuma pensiju saņēmējiem, savukārt tikai 2% netika indeksēta visa pensija, jo viņu pensija ir lielāka par indeksējamo robežu.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31.lpp tehniski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 teikumā vārdus " kvalitātes standartu izstrāde" šādā redakcijā " kvalitātes standarta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 teikumā vārdus "juridiska jautājumu (strīdu) risināšanā" šādā redakcijā "juridisku jautājumu (strīdu)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trešajā teikumā vārdus "Sākotnējās juridiskās palīdzības, t.sk. sākotnējās mediācijas modeļa un valsts nodrošinātās mediācijas norīkošanas modeļa izstrāde un pilotprojektu īstenošana" šādā redakcijā "Valsts nodrošinātās sākotnējās juridiskās palīdzības un mediācijas integrēšanas valsts nodrošinātās juridiskās palīdzības sistēmā modeļu izstrāde un pilotprojektu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augsto letālo un smago nelaimes gadījumu skaitu darba vidē, kā arī to, ka pēdējais novērtējums par darba apstākļiem un riskiem Latvijā attiecas uz 2019.–2021. gada periodu[1], ir nepieciešama atkārtota situācijas analīze (plānota 2027. gadā). Tā jāveic, lai izvērtētu Darba aizsardzības jomas attīstības plāna 2021.-2023. gadam ietvaros līdz šim īstenoto pasākumu efektivitāti, novērtētu iepriekšējo ieteikumu ieviešanas progresu un sagatavotu pamatotas rekomendācijas nākamajam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izvērtēt, vai atkārtotu situācijas analīzi būtu iespējams veikt agrāk, jo 2026.-2027.gadā norisinās nākamā plānošanas perioda dokumentu izstrāde un būs nepieciešamas politikas rekomendācijas arī šajā jomā.  Papildus, nav saprotama atsauce uz Darba aizsardzības jomas attīstības plāna 2021.-2023. gadam īstenoto pasākumu efektivitātes un progresa izvērtējumu, jo jau 2024. gadā tika pieņemts jauns   Darba aizsardzības jomas attīstības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apstākļi un riski Latvijā 2019–2021, Personu Rīgas Stradiņa universitāte un SIA “TNS Latvia” apvienība, 2023, https://ppdb.mk.gov.lv/database/darba-apstakli-un-riski-latvija-2019-2021/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lielākoties izaicinājumu aktualitāte saglabājas un politikas rezultāti netiek sasniegti, ziņojuma kvalitātes uzlabošanai ieteicams veikt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nepieciešams skaidrāk izklāstīt, kāpēc atsevišķi rezultatīvie rādītāji nav sasniegti vai stagnē un izaicinājumi saglabājas vai pieaug, identificējot šo tendenču cēloņus. Pašreizējais apraksts ir pārsvarā faktoloģisks un ietver detalizētu informāciju par pasākumu izpildi un darbības rezultātiem, bet tajā pietrūkst sasaistes ar politikas rezultātu sasniegšanu vai nesasniegšanu. Nav pietiekami analizēts, kāpēc rādītāji stagnē vai pasliktinās, un kā konkrētie pasākumi ir ietekmējuši (vai nav ietekmējuši) rezultātus. Šobrīd rādītāji tiek uzskaitīti, taču netiek sniegts skaidrojums par to dinamiku un cēloņiem. Būtu vēlams vērtēt, kas tieši būtu jāmaina rīcībpolitikā un vai tas tiks darīts, trūkst konkrētu politikas priekšlikumu, alternatīvu scenāriju. Šādas informācijas iekļaušana būtiski stiprinātu ziņojuma praktisko pielietojamību un tā vērtību kā politikas plānošanas instrumentam.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Labklājības ministrija ir izvērtējusi ideju veikt atkārtotu situācijas analīzi savlaicīgi vēl izvērtējuma izstrādes laikā iekšējo diskusiju ietvaros, jo šī informācija  nepieciešama nozares politikas plānošanai, tomēr secināja, ka ierobežotas cilvēkresursu pieejamības un iepirkumu procedūru dēļ šāda izvērtējuma rezultāti varētu būt pieejami ne ātrāk par 2027. gadu.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informatīvā ziņojuma projekta sadaļas “5. Rīcības virziens: Sociālās aizsardzības un darba tirgus politikas pārvaldības stiprināšana” tabulas “Politikas rezultāti un rezultatīvie rādītāji” 5.2., 5.3., 5.4. un 5.5.rezultatīvajiem rādītājiem aili “2024.gads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sadaļas “1.rīcības virziens: Ilgtspējīgs, stabils un adekvāts materiālais atbalsts, kas nodrošina pietiekamu ekonomisko neatkarību” (11.lpp.) punkta “Salīdzinājumā ar 2019. gadu, 2023. gadā nedaudz pieauga nabadzības risks pensijas vecuma iedzīvotājiem” otrajā rindkopā iekavās norādīto Eiropas savienības 2023.gada vidējo nabadzības un sociālās atstumtības riska apmēru (21,4%) ar informatīvā ziņojuma projekta 38.attēlā norādīto (21,3%).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papildināt informatīvā ziņojuma sadaļu "3. Rīcības virziens: Iekļaujošs darba tirgus ikvienam un kvalitatīvas darba vietas, atbalstot ilgtermiņa līdzdalību darba tirgū" ar informāciju par JSPA īstenoto Eiropas Savienības fondu 2014.-2020. gada plānošanas perioda darbības programmas „Izaugsme un nodarbinātība” 8.3.3. specifiskā atbalsta mērķa „Attīstīt NEET jauniešu prasmes un veicināt to iesaisti izglītībā, NVA īstenotajos pasākumos Jauniešu organizāciju vai jauniešu centru darbībā” un 14.1.1. specifiskā atbalsta mērķa "Atveseļošanas pasākumi izglītības nozarē" 14.1.1.2. pasākuma "Atbalsts NEET jauniešiem" </w:t>
            </w:r>
            <w:r w:rsidR="00000000" w:rsidRPr="00000000" w:rsidDel="00000000">
              <w:rPr>
                <w:b w:val="1"/>
                <w:rtl w:val="0"/>
              </w:rPr>
              <w:t xml:space="preserve">projektu „PROTI un DARI!”</w:t>
            </w:r>
            <w:r w:rsidR="00000000" w:rsidRPr="00000000" w:rsidDel="00000000">
              <w:rPr>
                <w:rtl w:val="0"/>
              </w:rPr>
              <w:t xml:space="preserve">, kā arī par Eiropas Savienības kohēzijas politikas programmas 2021.–2027.gadam 4.2.3.specifiskā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4.2.3.4.pasākuma “Sekmēt NEET jauniešu integrēšanos izglītībā un nodarbinātībā” </w:t>
            </w:r>
            <w:r w:rsidR="00000000" w:rsidRPr="00000000" w:rsidDel="00000000">
              <w:rPr>
                <w:b w:val="1"/>
                <w:rtl w:val="0"/>
              </w:rPr>
              <w:t xml:space="preserve">projektu “PROTI un DARI 2.0"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(29.-30.lp.)</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20.lapaspusē precizēt tekstu "Ar grozījumu SPSPL likumā pieņemšanas brīdi (no 21.01.2025.) pašvaldībām jau ir pienākums nodrošināt aprūpes mājās pakalpojumu cilvēkiem ar smagiem funkcionāliem traucējumiem", jo likums kļūst saistošs no tā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17.lpp. Nodrošināts valsts atbalsts pašvaldībām ilgstošas sociālās aprūpes un sociālās rehabilitācijas pakalpojumu sniegšanā iesaistīto aprūpētāju atalgojuma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valsts atbalsts bija īslaiīgs, lLūdzam papildināt, norādot kādā periodā tas tika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 Demogrāfisko pārmaiņu ietekmē, pieaugot senioru īpatsvaram, sagaidāms arī ilgtermiņa aprūpes  pakalpojumu pieprasījuma pieaugums. Salīdzinot 2019. gada un 2023. gada datus, lielākais saņēmēju skaita pieaugums konstatēts pakalpojumu grupai “aprūpe mājās un citi sociālie pakalpojumi aprūpei mājās” (20.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senioriem kā aprūpes mājās pakalpojuma saņēmējiem. Lūgums precizēt, vai 20.attēlā kā pakalpojuma saņēmēji nav arī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grupas “aprūpe mājās un citi sociālie pakalpojumi” saņēmēji ir arī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2024.gada Eiropas Komisijas ziņojumā norādīts, ka ilgtermiņa aprūpes pakalpojumu, īpaši aprūpei mājās, pieejamība nav pietiekama. Vienlaikus pakalpojumu grupai “aprūpe mājās un citi sociālie pakalpojumi” ir palielinājies saņēmēju skaits pamatnostādņu darbības laikā. Ievērojot demogrāfiskās prognozes, veselīgi nodzīvoto gadu skaita rādītāju u.c., prognozējams, ka ilgtermiņa aprūpes pakalpojumu pieprasījums vēl pieaugs (neanalizējot detalizētāk pa saņēmēju grupām).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20.lpp. Sociālās problēmas kļūst sarežģītākas un savstarpēji saistītākas (piemēram, veselības, sociālās aprūpes, izglītības, nodarbinātības un mājokļa jautājumi), tāpēc to efektīva risināšana prasa starpdisciplināru un starpinstitucionālu pieeju. Standarta trūkums (atšķirības pieejamībā un saturā), kā arī nepilnīga informācijas apmaiņa par sociālajiem pakalpojumiem (klāsts, izmaksas) liecina par nepietiekamu sadarbību. Informācijas nepietiekamības problēmu  daļēji plānots risināt DigiSoc projekta[1]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“Labklājības nozares un pašvaldību sociālās sfēras platformas “DigiSoc” izstrāde un ieviešana”. Plašāka informācija https://www.lm.gov.lv/lv/projekts/projekts-labklajibas-nozares-un-pasvaldibu-socialas-sferas-platformas-digisoc-izstrade-un-ieviesana.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tekstu, norādot tieši kā platforma DigiSoc risinās informācijas nepietiekamības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(21.lp.)</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25-TA-2782</w:t>
    </w:r>
    <w:r>
      <w:br/>
    </w:r>
    <w:r w:rsidR="00000000" w:rsidRPr="00000000" w:rsidDel="00000000">
      <w:rPr>
        <w:rtl w:val="0"/>
      </w:rPr>
      <w:t xml:space="preserve">07.04.2026. 12.01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25-TA-2782</w:t>
    </w:r>
    <w:r>
      <w:br/>
    </w:r>
    <w:r w:rsidR="00000000" w:rsidRPr="00000000" w:rsidDel="00000000">
      <w:rPr>
        <w:rtl w:val="0"/>
      </w:rPr>
      <w:t xml:space="preserve">07.04.2026. 12.01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Izziņa_25-TA-2782.docx</dc:title>
</cp:coreProperties>
</file>

<file path=docProps/custom.xml><?xml version="1.0" encoding="utf-8"?>
<Properties xmlns="http://schemas.openxmlformats.org/officeDocument/2006/custom-properties" xmlns:vt="http://schemas.openxmlformats.org/officeDocument/2006/docPropsVTypes"/>
</file>