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5. novembra noteikumos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(08.11.2024.)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tiek grozīti pasākuma rezultāta un Specifiskā atbalsta mērķa iznākuma rādītāji, tad lūdzam iesniegt Finanšu ministrijai precizēto 4.1.1.specifiskā atbalsta mērķa "Nodrošināt vienlīdzīgu piekļuvi veselības aprūpei un stiprināt veselības sistēmu, tostarp primārās veselības aprūpes noturību" rādītāju metodoloģijas aprakstu (rādītāju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2025.gada 28.augusta ES fondu tematiskajā komitejas sēdē atbalstītajam priekšlikumam par Eiropas Savienības kohēzijas politikas programmu 2021.–2027. gadam grozījumu tālāku virzību, paredzot gan papildu pārdales, lai reaģētu uz EK komentāriem, gan  iekļaujot REARM </w:t>
            </w:r>
            <w:r w:rsidR="00000000" w:rsidRPr="00000000" w:rsidDel="00000000">
              <w:rPr>
                <w:vertAlign w:val="superscript"/>
                <w:rtl w:val="0"/>
              </w:rPr>
              <w:t xml:space="preserve">1</w:t>
            </w:r>
            <w:r w:rsidR="00000000" w:rsidRPr="00000000" w:rsidDel="00000000">
              <w:rPr>
                <w:rtl w:val="0"/>
              </w:rPr>
              <w:t xml:space="preserve"> grozījumus, Veselības ministrija, reaģējot uz Vadošās iestādes uzsaukumu visām atbildīgajām iestādēm, 04.09.2025. iesniedza Vadošajai iestādei precizēto 4.1.1.SAM rādītāja pasi un pārējos saistošos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Eiropas Komisijas Kopīgo noteikumu regulas grozījumu priekšlikums  (Proposal for a REGULATION OF THE EUROPEAN PARLIAMENT AND OF THE COUNCIL amending Regulations (EU) 2021/1058 and (EU) 2021/1056 as regards specific measures to address strategic challenges in the context of the mid-term review (17.07.2025) Nr. 7682/25 (COM(2025) 123 final)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pielikuma tabulas ailē “Privātais finansējums” norādīto zīmi “*”, ņemot vērā, ka pielikumā nav sniegts atsauces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ar 4.1.1.1. pasākuma "Ārstniecības iestāžu infrastruktūras attīstība" katrai kārtai plānoto un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 kārtām 4.1.1.1. pasākuma finansējums šobrīd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4.1.1.1. pasākuma pirmās kārtas ietvaros plānotais un pieejamais kopējais finansējums ir 114 061 260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96 952 070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17 109 190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4.1.1.1. pasākuma otrās kārtas ietvaros plānotais un pieejamais kopējais finansējums ir 15 089 807 </w:t>
            </w:r>
            <w:r w:rsidR="00000000" w:rsidRPr="00000000" w:rsidDel="00000000">
              <w:rPr>
                <w:i w:val="1"/>
                <w:rtl w:val="0"/>
              </w:rPr>
              <w:t xml:space="preserve">euro</w:t>
            </w:r>
            <w:r w:rsidR="00000000" w:rsidRPr="00000000" w:rsidDel="00000000">
              <w:rPr>
                <w:rtl w:val="0"/>
              </w:rPr>
              <w:t xml:space="preserve">, tai skaitā Eiropas Reģionālās attīstības fonda finansējums – 12 826 335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 2 263 472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4.1.1.1. pasākuma trešās kārtas ietvaros plānotais un pieejamais kopējais finansējums ir 7 957 886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6 764 203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1 193 683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4.1.1.1. pasākuma ceturtās kārtas ietvaros plānotais un pieejamais kopējais finansējums ir 4 812 877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4 090 945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721 932</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4.1.1.1. pasākuma piektās kārtas ietvaros plānotais un pieejamais kopējais finansējums ir 133 543 211 </w:t>
            </w:r>
            <w:r w:rsidR="00000000" w:rsidRPr="00000000" w:rsidDel="00000000">
              <w:rPr>
                <w:i w:val="1"/>
                <w:rtl w:val="0"/>
              </w:rPr>
              <w:t xml:space="preserve">euro</w:t>
            </w:r>
            <w:r w:rsidR="00000000" w:rsidRPr="00000000" w:rsidDel="00000000">
              <w:rPr>
                <w:rtl w:val="0"/>
              </w:rPr>
              <w:t xml:space="preserve"> (no tā elastības finansējums – 46 682 293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113 511 729 </w:t>
            </w:r>
            <w:r w:rsidR="00000000" w:rsidRPr="00000000" w:rsidDel="00000000">
              <w:rPr>
                <w:i w:val="1"/>
                <w:rtl w:val="0"/>
              </w:rPr>
              <w:t xml:space="preserve">euro</w:t>
            </w:r>
            <w:r w:rsidR="00000000" w:rsidRPr="00000000" w:rsidDel="00000000">
              <w:rPr>
                <w:rtl w:val="0"/>
              </w:rPr>
              <w:t xml:space="preserve"> (no tā elastības finansējums – 39 679 949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20 031 482 </w:t>
            </w:r>
            <w:r w:rsidR="00000000" w:rsidRPr="00000000" w:rsidDel="00000000">
              <w:rPr>
                <w:i w:val="1"/>
                <w:rtl w:val="0"/>
              </w:rPr>
              <w:t xml:space="preserve">euro</w:t>
            </w:r>
            <w:r w:rsidR="00000000" w:rsidRPr="00000000" w:rsidDel="00000000">
              <w:rPr>
                <w:rtl w:val="0"/>
              </w:rPr>
              <w:t xml:space="preserve"> (no tā elastības finansējums – 7 002 344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anotācijas 1.3. sadaļas “Pašreizējā situācija, problēmas un risinājumi” apakšsadaļas “Problēmas apraksts” cik nacionālajā līdzfinansējumā ir privātais un cik valsts budžeta finansējums, pēc projektu apstiprināšanas, lai būt skaidrāks, kāpēc līdzfinansējuma dala palielinājusies līdz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704 grozījumiem pasākuma ietvaros plānotais un pieejamais kopējais finansējums ir 4 300 047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3 346 264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953 783 </w:t>
            </w:r>
            <w:r w:rsidR="00000000" w:rsidRPr="00000000" w:rsidDel="00000000">
              <w:rPr>
                <w:i w:val="1"/>
                <w:rtl w:val="0"/>
              </w:rPr>
              <w:t xml:space="preserve">euro</w:t>
            </w:r>
            <w:r w:rsidR="00000000" w:rsidRPr="00000000" w:rsidDel="00000000">
              <w:rPr>
                <w:rtl w:val="0"/>
              </w:rPr>
              <w:t xml:space="preserve"> </w:t>
            </w:r>
            <w:r w:rsidR="00000000" w:rsidRPr="00000000" w:rsidDel="00000000">
              <w:rPr>
                <w:u w:val="single"/>
                <w:rtl w:val="0"/>
              </w:rPr>
              <w:t xml:space="preserve">(tai skaitā valsts budžeta finansējums 116 326,43 </w:t>
            </w:r>
            <w:r w:rsidR="00000000" w:rsidRPr="00000000" w:rsidDel="00000000">
              <w:rPr>
                <w:i w:val="1"/>
                <w:u w:val="single"/>
                <w:rtl w:val="0"/>
              </w:rPr>
              <w:t xml:space="preserve">euro</w:t>
            </w:r>
            <w:r w:rsidR="00000000" w:rsidRPr="00000000" w:rsidDel="00000000">
              <w:rPr>
                <w:u w:val="single"/>
                <w:rtl w:val="0"/>
              </w:rPr>
              <w:t xml:space="preserve"> un privātais finansējums 837 456,84 </w:t>
            </w:r>
            <w:r w:rsidR="00000000" w:rsidRPr="00000000" w:rsidDel="00000000">
              <w:rPr>
                <w:i w:val="1"/>
                <w:u w:val="single"/>
                <w:rtl w:val="0"/>
              </w:rPr>
              <w:t xml:space="preserve">euro</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apakšsadaļas “Problēmas apraksts” norādot, kāpēc 4.1.1.1. pasākuma "Ārstniecības iestāžu infrastruktūras attīstība" ceturtās kārtas atlases ietvaros netika iesniegti visi plānotie projekti, t.i. norādot būtiskākos iemeslus, kāpēc atteicās kā piemēram lielā privātā līdzfinansējuma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iemeslus, kāpēc daļa potenciālo projektu iesniedzēju neiesniedza projektus,  minami divi: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diezgan apjomīga privātā līdzfinansējuma piesaistes dēļ, jo  lielu maksas pakalpojumu īpatsvara gadījumā infrastruktūras attīstības projektā ir jāiegulda arī privātais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dažiem atbalsta saņēmējiem projektā pieejamais finansējums nebija liels (daži desmiti tūkstoši euro),  izvērtējot projekta iesnieguma sagatavošanā ieguldāmo laiku un darbu, tika nolemts atlasē nepiedalīties.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atgādinām, ka atbalsta finansējums katram individuāli tika sadalīts pēc konkrēta algoritma, proti - finansējuma saņēmēji noteikti, ņemot vērā, ka tās ir ārstniecības iestādes, kas sniedz valsts apmaksātos veselības aprūpes diagnostiskos izmeklējumus sirds un asinsvadu jomā (turpmāk – SAS) un/vai pēcskrīninga izmeklējumus onkoloģijas jomā un kurām unikālo pacientu skaits atbalstāmajās programmās ir vismaz 500 pacienti, kā arī tās, kam nav sniegts atbalsts citās Programmas specifiskā atbalsta mērķa 4.1.1.1. pasākuma "Ārstniecības iestāžu infrastruktūras attīstība" atlases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kārtā pieejamais finansējums katram individuāli noteikts - sarēķināts -pamatojoties uz valsts apmaksāto ambulatoro kvotēto SAS programmu un nekvotētās “zarnu vēža pēcskrīnings” programmas skaitu attiecīgajai iestādei (kritērija svars - 50%) un unikālo pacientu skaitu iepriekšējā gadā (kritērija svars - 50%), izmantojot Nacionālā veselības dienesta datus par 2023. gadu. Atbalsta saņēmēju lokā tika iekļautas ārstniecības iestādes, kam unikālo pacientu skaits ir vismaz 500 pacienti vienā vai vairākās programmās no šādām valsts apmaksāto ambulatoro kvotēto vai nekvotēto programmām – “doplerogrāfija”, “elektrokardiogrāfija”, “invazīvā kardioloģija dienas stacionārā”, “kardioloģija”, “neiroelektrofizioloģiskie funkcionālie izmeklējumi”, “pārējie sirds asinsvadu sistēmas funkcionālie izmeklējumi” un “zarnu vēža pēcskrīnings”.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anotācijā visus noteikumu projektā iekļautos grozījumus, t.i. </w:t>
            </w:r>
            <w:r w:rsidR="00000000" w:rsidRPr="00000000" w:rsidDel="00000000">
              <w:rPr>
                <w:rtl w:val="0"/>
              </w:rPr>
              <w:t xml:space="preserve">4. un 5. punktā </w:t>
            </w:r>
            <w:r w:rsidR="00000000" w:rsidRPr="00000000" w:rsidDel="00000000">
              <w:rPr>
                <w:rtl w:val="0"/>
              </w:rPr>
              <w:t xml:space="preserve">noteiktos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ar informāciju, ka noteikumu projektā iekļautie grozījumi neietekmēs jau īstenošanā esošos projektus, ņemot vērā, ka tiek pārdalīts finansējums, kurš nav piesaistīts kādam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pārdalīts finansējums, kurš nav piesaistīts kādam projektam, noteikumu projektā iekļautie grozījumi neietekmēs jau īstenošanā esošos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problēmu aprakstā precizēt pirmajā apakšpunktā norādīto informāciju, ka tika saņemti projekta iesniegumi no 28 ārstniecības iestādēm, nevis kā norādīts no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47 potenciālajiem MK noteikumu Nr. 704 pielikumā minētajiem atbalsta saņēmējiem projekta iesniegumus iesniedza 28 ārstniecības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finansējuma apjomā, lūdzam papildināt noteikumu projekta anotāciju ar informāciju par pasākuma 4.kārtas finansējuma dalījumu pa visām intervences kategorijām, norādot intervences kodus un tam piemērojamo pasākuma 4.kārtas fondu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sagatavo projekta iesniegumu atbilstoši projektu iesniegumu atlases nolikumā noteiktajām prasībām un iesniedz to sadarbības iestādē, izmantojot Kohēzijas politikas fondu vadības informācijas sistēmu, tai skaitā ar parakstu apliecina projekta iesniedzēja interešu konflikta neesību atbilstoši Eiropas Parlamenta un Padomes 2024. gada 23. septembra Regulas (ES, </w:t>
            </w:r>
            <w:r w:rsidR="00000000" w:rsidRPr="00000000" w:rsidDel="00000000">
              <w:rPr>
                <w:i w:val="1"/>
                <w:rtl w:val="0"/>
              </w:rPr>
              <w:t xml:space="preserve">Euratom</w:t>
            </w:r>
            <w:r w:rsidR="00000000" w:rsidRPr="00000000" w:rsidDel="00000000">
              <w:rPr>
                <w:rtl w:val="0"/>
              </w:rPr>
              <w:t xml:space="preserve">) Nr. 2024/2509 par finanšu noteikumiem, ko piemēro Savienības vispārējam budžetam (pārstrādāta redakcija), 61.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Ministru kabineta 2024. gada 5. novembra noteikumu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 (turpmāk – MKN Nr. 704) 23. punktā ietvertās prasības ar parakstu apliecināt projekta iesniedzēja interešu konflikta neesību nepieciešamību, ņemot vērā to, ka Eiropas Parlamenta un Padomes 2024. gada 23. septembra Regulas (ES, Euratom) 2024/2509 par finanšu noteikumiem, ko piemēro Savienības vispārējam budžetam (pārstrādātā redakcija), 61. 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sagatavo projekta iesniegumu atbilstoši projektu iesniegumu atlases nolikumā noteiktajām prasībām un iesniedz to sadarbības iestādē, izmantojot Kohēzijas politikas fondu vadības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nodrošina, ka iepirkumus, kuri nepieciešami atbalstāmo darbību īstenošanai, finansējuma saņēmējs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MKN Nr. 704 41.8. apakšpunktā noteiktās prasības publiskā iepirkuma veikšanai, paredzot iespēju finansējuma saņēmējiem izvēlēties iepirkuma prasības, t.i. vai piemērot, vai nepiemērot minētos iepirkumu veidus, kā arī paredzot izvēlēties piemērot atsevišķus iepirkuma elementus (piemēram, atbalstu sociālo uzņēmēju dalībai publiskajos iepirkumos), lai būtu viennozīmīgi skaidra un izsekojama, kā arī novērtējama prasība), vienlaikus nodrošinot, ka iepirkumus, kuri nepieciešami atbalstāmo darbību īstenošanai, finansējuma saņēmējs veic atklātā, pārredzamā, nediskriminējošā un konkurenci nodrošinošā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41.8.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nodrošina, ka iepirkumus, kuri nepieciešami atbalstāmo darbību īstenošanai, finansējuma saņēmējs veic atklātā, pārredzamā, nediskriminējošā un konkurenci nodrošinošā, iespēju robežās sociāli atbildīgā veidā, kā arī saskaņā ar normatīvajiem aktiem publisko iepirkumu jomā, ievērojot nediskriminācijas principus. Projekta ietvaros ir atbalstāma vides prasību un inovatīva risinājuma integrēšana preču un pakalpojuma iepirkumos (inovāciju publiskais iepirkums);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25-TA-1867</w:t>
    </w:r>
    <w:r>
      <w:br/>
    </w:r>
    <w:r w:rsidR="00000000" w:rsidRPr="00000000" w:rsidDel="00000000">
      <w:rPr>
        <w:rtl w:val="0"/>
      </w:rPr>
      <w:t xml:space="preserve">23.09.2025. 11.40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25-TA-1867</w:t>
    </w:r>
    <w:r>
      <w:br/>
    </w:r>
    <w:r w:rsidR="00000000" w:rsidRPr="00000000" w:rsidDel="00000000">
      <w:rPr>
        <w:rtl w:val="0"/>
      </w:rPr>
      <w:t xml:space="preserve">23.09.2025. 11.40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Izziņa_25-TA-1867.docx</dc:title>
</cp:coreProperties>
</file>

<file path=docProps/custom.xml><?xml version="1.0" encoding="utf-8"?>
<Properties xmlns="http://schemas.openxmlformats.org/officeDocument/2006/custom-properties" xmlns:vt="http://schemas.openxmlformats.org/officeDocument/2006/docPropsVTypes"/>
</file>