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C4196E" w:rsidRDefault="00ED1527">
      <w:pPr>
        <w:spacing w:before="240" w:after="240"/>
        <w:rPr>
          <w:b/>
          <w:sz w:val="28"/>
        </w:rPr>
      </w:pPr>
      <w:r>
        <w:rPr>
          <w:b/>
          <w:sz w:val="28"/>
        </w:rPr>
        <w:t>23-TA-1024: Noteikumu projekts (Groza manuāli)</w:t>
      </w:r>
    </w:p>
    <w:p w:rsidR="00C4196E" w:rsidRDefault="00ED1527">
      <w:pPr>
        <w:pStyle w:val="titleparagraph"/>
        <w:contextualSpacing w:val="0"/>
      </w:pPr>
      <w:r>
        <w:t>Grozījumi Ministru kabineta 2011. gada 25. janvāra noteikumos Nr. 75 "Noteikumi par aktīvo nodarbinātības pasākumu un preventīvo bezdarba samazināšanas pasākumu organizēšanas un finansēšanas kārtību un pasākumu īstenotāju izvēles principiem"</w:t>
      </w:r>
    </w:p>
    <w:tbl>
      <w:tblPr>
        <w:tblStyle w:val="a"/>
        <w:tblW w:w="1472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2098"/>
        <w:gridCol w:w="6520"/>
        <w:gridCol w:w="1701"/>
        <w:gridCol w:w="3388"/>
      </w:tblGrid>
      <w:tr w:rsidR="00C4196E" w:rsidTr="00BF4DA7">
        <w:tc>
          <w:tcPr>
            <w:tcW w:w="1015" w:type="dxa"/>
            <w:shd w:val="clear" w:color="auto" w:fill="FFFFFF"/>
            <w:noWrap/>
            <w:tcMar>
              <w:top w:w="75" w:type="dxa"/>
              <w:left w:w="75" w:type="dxa"/>
              <w:bottom w:w="75" w:type="dxa"/>
              <w:right w:w="75" w:type="dxa"/>
            </w:tcMar>
            <w:vAlign w:val="center"/>
          </w:tcPr>
          <w:p w:rsidR="00C4196E" w:rsidRDefault="00ED1527">
            <w:pPr>
              <w:jc w:val="center"/>
              <w:rPr>
                <w:b/>
              </w:rPr>
            </w:pPr>
            <w:proofErr w:type="spellStart"/>
            <w:r>
              <w:rPr>
                <w:b/>
              </w:rPr>
              <w:t>Nr.p.k</w:t>
            </w:r>
            <w:proofErr w:type="spellEnd"/>
            <w:r>
              <w:rPr>
                <w:b/>
              </w:rPr>
              <w:t>.</w:t>
            </w:r>
          </w:p>
        </w:tc>
        <w:tc>
          <w:tcPr>
            <w:tcW w:w="2098" w:type="dxa"/>
            <w:shd w:val="clear" w:color="auto" w:fill="FFFFFF"/>
            <w:noWrap/>
            <w:tcMar>
              <w:top w:w="75" w:type="dxa"/>
              <w:left w:w="75" w:type="dxa"/>
              <w:bottom w:w="75" w:type="dxa"/>
              <w:right w:w="75" w:type="dxa"/>
            </w:tcMar>
            <w:vAlign w:val="center"/>
          </w:tcPr>
          <w:p w:rsidR="00C4196E" w:rsidRDefault="00ED1527">
            <w:pPr>
              <w:jc w:val="center"/>
              <w:rPr>
                <w:b/>
              </w:rPr>
            </w:pPr>
            <w:r>
              <w:rPr>
                <w:b/>
              </w:rPr>
              <w:t>Saskaņošanai nosūtītā projekta redakcija</w:t>
            </w:r>
          </w:p>
        </w:tc>
        <w:tc>
          <w:tcPr>
            <w:tcW w:w="6520" w:type="dxa"/>
            <w:shd w:val="clear" w:color="auto" w:fill="FFFFFF"/>
            <w:noWrap/>
            <w:tcMar>
              <w:top w:w="75" w:type="dxa"/>
              <w:left w:w="75" w:type="dxa"/>
              <w:bottom w:w="75" w:type="dxa"/>
              <w:right w:w="75" w:type="dxa"/>
            </w:tcMar>
            <w:vAlign w:val="center"/>
          </w:tcPr>
          <w:p w:rsidR="00C4196E" w:rsidRDefault="00ED1527">
            <w:pPr>
              <w:jc w:val="center"/>
              <w:rPr>
                <w:b/>
              </w:rPr>
            </w:pPr>
            <w:r>
              <w:rPr>
                <w:b/>
              </w:rPr>
              <w:t>Iebildums / Priekšlikums</w:t>
            </w:r>
          </w:p>
        </w:tc>
        <w:tc>
          <w:tcPr>
            <w:tcW w:w="1701" w:type="dxa"/>
            <w:shd w:val="clear" w:color="auto" w:fill="FFFFFF"/>
            <w:noWrap/>
            <w:tcMar>
              <w:top w:w="75" w:type="dxa"/>
              <w:left w:w="75" w:type="dxa"/>
              <w:bottom w:w="75" w:type="dxa"/>
              <w:right w:w="75" w:type="dxa"/>
            </w:tcMar>
            <w:vAlign w:val="center"/>
          </w:tcPr>
          <w:p w:rsidR="00C4196E" w:rsidRDefault="00ED1527">
            <w:pPr>
              <w:jc w:val="center"/>
              <w:rPr>
                <w:b/>
              </w:rPr>
            </w:pPr>
            <w:r>
              <w:rPr>
                <w:b/>
              </w:rPr>
              <w:t>Apstrādes informācija</w:t>
            </w:r>
          </w:p>
        </w:tc>
        <w:tc>
          <w:tcPr>
            <w:tcW w:w="3388" w:type="dxa"/>
            <w:shd w:val="clear" w:color="auto" w:fill="FFFFFF"/>
            <w:noWrap/>
            <w:tcMar>
              <w:top w:w="75" w:type="dxa"/>
              <w:left w:w="75" w:type="dxa"/>
              <w:bottom w:w="75" w:type="dxa"/>
              <w:right w:w="75" w:type="dxa"/>
            </w:tcMar>
            <w:vAlign w:val="center"/>
          </w:tcPr>
          <w:p w:rsidR="00C4196E" w:rsidRDefault="00ED1527">
            <w:pPr>
              <w:jc w:val="center"/>
              <w:rPr>
                <w:b/>
              </w:rPr>
            </w:pPr>
            <w:r>
              <w:rPr>
                <w:b/>
              </w:rPr>
              <w:t>Galīgā redakcija</w:t>
            </w:r>
          </w:p>
        </w:tc>
      </w:tr>
      <w:tr w:rsidR="00C4196E" w:rsidTr="00BF4DA7">
        <w:tc>
          <w:tcPr>
            <w:tcW w:w="1015" w:type="dxa"/>
            <w:shd w:val="clear" w:color="auto" w:fill="FFFFFF"/>
            <w:noWrap/>
            <w:tcMar>
              <w:top w:w="75" w:type="dxa"/>
              <w:left w:w="75" w:type="dxa"/>
              <w:bottom w:w="75" w:type="dxa"/>
              <w:right w:w="75" w:type="dxa"/>
            </w:tcMar>
          </w:tcPr>
          <w:p w:rsidR="00C4196E" w:rsidRDefault="00ED1527">
            <w:r>
              <w:t>1.</w:t>
            </w:r>
          </w:p>
        </w:tc>
        <w:tc>
          <w:tcPr>
            <w:tcW w:w="2098" w:type="dxa"/>
            <w:shd w:val="clear" w:color="auto" w:fill="FFFFFF"/>
            <w:noWrap/>
            <w:tcMar>
              <w:top w:w="75" w:type="dxa"/>
              <w:left w:w="75" w:type="dxa"/>
              <w:bottom w:w="75" w:type="dxa"/>
              <w:right w:w="75" w:type="dxa"/>
            </w:tcMar>
          </w:tcPr>
          <w:p w:rsidR="00C4196E" w:rsidRDefault="00ED1527">
            <w:pPr>
              <w:spacing w:after="240"/>
              <w:rPr>
                <w:b/>
              </w:rPr>
            </w:pPr>
            <w:r>
              <w:rPr>
                <w:b/>
              </w:rPr>
              <w:t>Noteikumu (grozījumu) projekts</w:t>
            </w:r>
          </w:p>
          <w:p w:rsidR="00C4196E" w:rsidRDefault="00ED1527">
            <w:r>
              <w:t xml:space="preserve"> </w:t>
            </w:r>
          </w:p>
        </w:tc>
        <w:tc>
          <w:tcPr>
            <w:tcW w:w="6520" w:type="dxa"/>
            <w:shd w:val="clear" w:color="auto" w:fill="FFFFFF"/>
            <w:noWrap/>
            <w:tcMar>
              <w:top w:w="75" w:type="dxa"/>
              <w:left w:w="75" w:type="dxa"/>
              <w:bottom w:w="75" w:type="dxa"/>
              <w:right w:w="75" w:type="dxa"/>
            </w:tcMar>
          </w:tcPr>
          <w:p w:rsidR="00C4196E" w:rsidRDefault="00FF3E31">
            <w:pPr>
              <w:spacing w:after="240"/>
              <w:rPr>
                <w:b/>
              </w:rPr>
            </w:pPr>
            <w:r>
              <w:rPr>
                <w:b/>
              </w:rPr>
              <w:t>Priekšlikums</w:t>
            </w:r>
            <w:r w:rsidR="00ED1527">
              <w:rPr>
                <w:b/>
              </w:rPr>
              <w:t xml:space="preserve"> (</w:t>
            </w:r>
            <w:r>
              <w:rPr>
                <w:b/>
              </w:rPr>
              <w:t>LM</w:t>
            </w:r>
            <w:r w:rsidR="00ED1527">
              <w:rPr>
                <w:b/>
              </w:rPr>
              <w:t xml:space="preserve"> - 2</w:t>
            </w:r>
            <w:r>
              <w:rPr>
                <w:b/>
              </w:rPr>
              <w:t>5</w:t>
            </w:r>
            <w:r w:rsidR="00ED1527">
              <w:rPr>
                <w:b/>
              </w:rPr>
              <w:t>.</w:t>
            </w:r>
            <w:r>
              <w:rPr>
                <w:b/>
              </w:rPr>
              <w:t>10</w:t>
            </w:r>
            <w:r w:rsidR="00ED1527">
              <w:rPr>
                <w:b/>
              </w:rPr>
              <w:t>.2023.)</w:t>
            </w:r>
          </w:p>
          <w:p w:rsidR="00FF3E31" w:rsidRDefault="00FF3E31">
            <w:pPr>
              <w:spacing w:after="240"/>
            </w:pPr>
            <w:r>
              <w:t xml:space="preserve">Saskaņā ar </w:t>
            </w:r>
            <w:r>
              <w:rPr>
                <w:rStyle w:val="scayt-misspell-word"/>
              </w:rPr>
              <w:t>MK</w:t>
            </w:r>
            <w:r>
              <w:t xml:space="preserve"> noteikumu 15.2.apakšpunktu viena no prasībām apmācību pasākumu īstenotājiem ir licence vai akreditācijas lapa, ja to nepieciešamību nosaka normatīvie akti.</w:t>
            </w:r>
            <w:r>
              <w:br/>
              <w:t>Atbilstoši spēkā esošajām Profesionālās izglītības likuma un Izglītības likuma prasībām izglītības iestādēm un izglītības programmām netiek izsniegtas akreditācijas lapas un licences, vienlaikus, lai izglītības iestāde būtu tiesīga īstenot izglītības programmu, tai ir nepieciešams ievērot Profesionālās izglītības likumā noteikto licencēšanas vai akreditācijas kārtību. Profesionālajā izglītībā no 2024.gada 1.janvāra tiks īstenota institucionālā akreditācija, kas nozīmē to, ka izglītības programmas vairs netiek akreditētas. Savukārt atbilstoši Ministru kabineta 2023.gada 23.maija noteikumiem Nr.253 "Vispārējās un profesionālās izglītības programmu licencēšanas kārtība" ir noteikta izglītības programmu licencēšana kā sākotnējā izglītības programmu kvalitātes izvērtēšana.</w:t>
            </w:r>
          </w:p>
          <w:p w:rsidR="00FF3E31" w:rsidRDefault="00FF3E31">
            <w:pPr>
              <w:spacing w:after="240"/>
              <w:rPr>
                <w:b/>
              </w:rPr>
            </w:pPr>
            <w:r>
              <w:t xml:space="preserve">Lai nodrošinātu </w:t>
            </w:r>
            <w:r>
              <w:rPr>
                <w:rStyle w:val="scayt-misspell-word"/>
              </w:rPr>
              <w:t>MK</w:t>
            </w:r>
            <w:r>
              <w:t xml:space="preserve"> noteikumu atbilstību Profesionālās izglītības likumā noteiktajām prasībām, nepieciešams precizēt </w:t>
            </w:r>
            <w:r>
              <w:rPr>
                <w:rStyle w:val="scayt-misspell-word"/>
              </w:rPr>
              <w:t>MK</w:t>
            </w:r>
            <w:r>
              <w:t xml:space="preserve"> </w:t>
            </w:r>
            <w:r>
              <w:lastRenderedPageBreak/>
              <w:t>noteikumu Nr.75 15.2.apakšpunktu, nosakot, ka pretendentam (izglītības iestādei) jābūt licencētam un akreditētam.</w:t>
            </w:r>
          </w:p>
          <w:p w:rsidR="00C4196E" w:rsidRDefault="00C4196E"/>
          <w:p w:rsidR="00C4196E" w:rsidRDefault="00C4196E"/>
          <w:p w:rsidR="00C4196E" w:rsidRDefault="00C4196E"/>
          <w:p w:rsidR="00C4196E" w:rsidRDefault="00ED1527">
            <w:r>
              <w:t> </w:t>
            </w:r>
          </w:p>
          <w:p w:rsidR="00C4196E" w:rsidRDefault="00ED1527">
            <w:pPr>
              <w:spacing w:before="240" w:after="240"/>
              <w:rPr>
                <w:i/>
              </w:rPr>
            </w:pPr>
            <w:r>
              <w:rPr>
                <w:i/>
              </w:rPr>
              <w:t>Piedāvātā redakcija</w:t>
            </w:r>
          </w:p>
          <w:p w:rsidR="00C4196E" w:rsidRDefault="00FF3E31">
            <w:r>
              <w:t>Aizstāt 15.2. apakšpunktā vārdus "licence, akreditācijas lapa" ar vārdiem "licencēta atbilstošā izglītības programma, ir izglītības iestādes un atbilstošās izglītības programmas akreditācija, vai izglītība iestāde akreditēta atbilstošās profesionālās ievirzes izglītības vai profesionālās pilnveides izglītības programmas īstenošanā".</w:t>
            </w:r>
          </w:p>
        </w:tc>
        <w:tc>
          <w:tcPr>
            <w:tcW w:w="1701" w:type="dxa"/>
            <w:shd w:val="clear" w:color="auto" w:fill="FFFFFF"/>
            <w:noWrap/>
            <w:tcMar>
              <w:top w:w="75" w:type="dxa"/>
              <w:left w:w="75" w:type="dxa"/>
              <w:bottom w:w="75" w:type="dxa"/>
              <w:right w:w="75" w:type="dxa"/>
            </w:tcMar>
          </w:tcPr>
          <w:p w:rsidR="00C4196E" w:rsidRDefault="00FF3E31">
            <w:r>
              <w:lastRenderedPageBreak/>
              <w:t>Ņemts vērā</w:t>
            </w:r>
          </w:p>
        </w:tc>
        <w:tc>
          <w:tcPr>
            <w:tcW w:w="3388" w:type="dxa"/>
            <w:shd w:val="clear" w:color="auto" w:fill="FFFFFF"/>
            <w:noWrap/>
            <w:tcMar>
              <w:top w:w="75" w:type="dxa"/>
              <w:left w:w="75" w:type="dxa"/>
              <w:bottom w:w="75" w:type="dxa"/>
              <w:right w:w="75" w:type="dxa"/>
            </w:tcMar>
          </w:tcPr>
          <w:p w:rsidR="00C4196E" w:rsidRDefault="00FF3E31">
            <w:r>
              <w:t>Aizstāt 15.2. apakšpunktā vārdus "licence, akreditācijas lapa" ar vārdiem "licencēta atbilstošā izglītības programma, ir izglītības iestādes un atbilstošās izglītības programmas akreditācija, vai izglītība iestāde akreditēta atbilstošās profesionālās ievirzes izglītības vai profesionālās pilnveides izglītības programmas īstenošanā".</w:t>
            </w:r>
          </w:p>
        </w:tc>
      </w:tr>
      <w:tr w:rsidR="00C4196E" w:rsidTr="00BF4DA7">
        <w:tc>
          <w:tcPr>
            <w:tcW w:w="1015" w:type="dxa"/>
            <w:shd w:val="clear" w:color="auto" w:fill="FFFFFF"/>
            <w:noWrap/>
            <w:tcMar>
              <w:top w:w="75" w:type="dxa"/>
              <w:left w:w="75" w:type="dxa"/>
              <w:bottom w:w="75" w:type="dxa"/>
              <w:right w:w="75" w:type="dxa"/>
            </w:tcMar>
          </w:tcPr>
          <w:p w:rsidR="00C4196E" w:rsidRDefault="00ED1527">
            <w:r>
              <w:t>2.</w:t>
            </w:r>
          </w:p>
        </w:tc>
        <w:tc>
          <w:tcPr>
            <w:tcW w:w="2098" w:type="dxa"/>
            <w:shd w:val="clear" w:color="auto" w:fill="FFFFFF"/>
            <w:noWrap/>
            <w:tcMar>
              <w:top w:w="75" w:type="dxa"/>
              <w:left w:w="75" w:type="dxa"/>
              <w:bottom w:w="75" w:type="dxa"/>
              <w:right w:w="75" w:type="dxa"/>
            </w:tcMar>
          </w:tcPr>
          <w:p w:rsidR="00C4196E" w:rsidRDefault="00ED1527">
            <w:pPr>
              <w:spacing w:after="240"/>
              <w:rPr>
                <w:b/>
              </w:rPr>
            </w:pPr>
            <w:r>
              <w:rPr>
                <w:b/>
              </w:rPr>
              <w:t>Noteikumu (grozījumu) projekts</w:t>
            </w:r>
          </w:p>
          <w:p w:rsidR="00C4196E" w:rsidRDefault="00C4196E"/>
        </w:tc>
        <w:tc>
          <w:tcPr>
            <w:tcW w:w="6520" w:type="dxa"/>
            <w:shd w:val="clear" w:color="auto" w:fill="FFFFFF"/>
            <w:noWrap/>
            <w:tcMar>
              <w:top w:w="75" w:type="dxa"/>
              <w:left w:w="75" w:type="dxa"/>
              <w:bottom w:w="75" w:type="dxa"/>
              <w:right w:w="75" w:type="dxa"/>
            </w:tcMar>
          </w:tcPr>
          <w:p w:rsidR="00FF3E31" w:rsidRDefault="00FF3E31" w:rsidP="00FF3E31">
            <w:pPr>
              <w:spacing w:after="240"/>
              <w:rPr>
                <w:b/>
              </w:rPr>
            </w:pPr>
            <w:r>
              <w:rPr>
                <w:b/>
              </w:rPr>
              <w:t>Priekšlikums (LM - 25.10.2023.)</w:t>
            </w:r>
          </w:p>
          <w:p w:rsidR="00BF4DA7" w:rsidRDefault="00BF4DA7" w:rsidP="00FF3E31">
            <w:pPr>
              <w:spacing w:after="240"/>
            </w:pPr>
            <w:r>
              <w:t xml:space="preserve">Atbilstoši </w:t>
            </w:r>
            <w:r>
              <w:rPr>
                <w:rStyle w:val="scayt-misspell-word"/>
              </w:rPr>
              <w:t>MK</w:t>
            </w:r>
            <w:r>
              <w:t xml:space="preserve"> Noteikumu Nr.75 80.punktam subsidētās nodarbinātības </w:t>
            </w:r>
            <w:proofErr w:type="spellStart"/>
            <w:r>
              <w:t>mērķgrupas</w:t>
            </w:r>
            <w:proofErr w:type="spellEnd"/>
            <w:r>
              <w:t xml:space="preserve"> ir gan bezdarbnieki ar invaliditāti, gan nelabvēlīgākā situācijā esoši bezdarbnieki, kuri ir sasnieguši 55 gadu vecumu. Personu ar I un </w:t>
            </w:r>
            <w:r>
              <w:rPr>
                <w:rStyle w:val="scayt-misspell-word"/>
              </w:rPr>
              <w:t>II</w:t>
            </w:r>
            <w:r>
              <w:t xml:space="preserve"> grupas invaliditāti, kā arī personu, kurām invaliditātes funkcionālais veids ir garīga rakstura traucējumi, iesaistes ilgums ir 18 mēneši, savukārt pārējo bezdarbnieku ar invaliditāti un bezdarbnieku, kas ir sasnieguši 55 gadu vecumu iesaistes ilgums ir 12 mēneši. Vienlaikus bezdarbnieku ar </w:t>
            </w:r>
            <w:r>
              <w:rPr>
                <w:rStyle w:val="scayt-misspell-word"/>
              </w:rPr>
              <w:t>III</w:t>
            </w:r>
            <w:r>
              <w:t xml:space="preserve"> grupas invaliditāti, kuri ir sasnieguši 55 gadu vecumu, nodarbinātību kavējošais faktors ir ne tikai veselības stāvoklis, bet arī vecums.</w:t>
            </w:r>
          </w:p>
          <w:p w:rsidR="00BF4DA7" w:rsidRDefault="00BF4DA7" w:rsidP="00FF3E31">
            <w:pPr>
              <w:spacing w:after="240"/>
              <w:rPr>
                <w:b/>
              </w:rPr>
            </w:pPr>
            <w:r>
              <w:t xml:space="preserve">Lai veicinātu minētās </w:t>
            </w:r>
            <w:proofErr w:type="spellStart"/>
            <w:r>
              <w:t>mērķgrupas</w:t>
            </w:r>
            <w:proofErr w:type="spellEnd"/>
            <w:r>
              <w:t xml:space="preserve"> atgriešanos darba tirgū, Noteikumu projekts paredz papildināt </w:t>
            </w:r>
            <w:r>
              <w:rPr>
                <w:rStyle w:val="scayt-misspell-word"/>
              </w:rPr>
              <w:t>MK</w:t>
            </w:r>
            <w:r>
              <w:t xml:space="preserve"> noteikumu Nr.75 </w:t>
            </w:r>
            <w:r>
              <w:lastRenderedPageBreak/>
              <w:t>86.2.apakšpunktu, nosakot, ka arī bezdarbnieku ar invaliditāti, kuri ir sasnieguši 55 gadu vecumu, maksimālais iesaistes ilgums subsidētās nodarbinātības pasākumā ir</w:t>
            </w:r>
            <w:r w:rsidR="009C78DA">
              <w:t xml:space="preserve"> līdz</w:t>
            </w:r>
            <w:r>
              <w:t xml:space="preserve"> 18 mēneši</w:t>
            </w:r>
            <w:r w:rsidR="009C78DA">
              <w:t>em</w:t>
            </w:r>
            <w:r>
              <w:t>.</w:t>
            </w:r>
          </w:p>
          <w:p w:rsidR="00FF3E31" w:rsidRDefault="00FF3E31">
            <w:pPr>
              <w:rPr>
                <w:b/>
              </w:rPr>
            </w:pPr>
          </w:p>
          <w:p w:rsidR="00C4196E" w:rsidRDefault="00ED1527">
            <w:pPr>
              <w:spacing w:before="240" w:after="240"/>
              <w:rPr>
                <w:i/>
              </w:rPr>
            </w:pPr>
            <w:r>
              <w:rPr>
                <w:i/>
              </w:rPr>
              <w:t>Piedāvātā redakcija</w:t>
            </w:r>
          </w:p>
          <w:p w:rsidR="00C4196E" w:rsidRDefault="00FF3E31">
            <w:r>
              <w:t>Papildināt 86.2. apakšpunktu aiz vārdiem "invaliditātes grupa" ar vārdiem "vai kuri ir vecāki par 55 gadiem".</w:t>
            </w:r>
          </w:p>
        </w:tc>
        <w:tc>
          <w:tcPr>
            <w:tcW w:w="1701" w:type="dxa"/>
            <w:shd w:val="clear" w:color="auto" w:fill="FFFFFF"/>
            <w:noWrap/>
            <w:tcMar>
              <w:top w:w="75" w:type="dxa"/>
              <w:left w:w="75" w:type="dxa"/>
              <w:bottom w:w="75" w:type="dxa"/>
              <w:right w:w="75" w:type="dxa"/>
            </w:tcMar>
          </w:tcPr>
          <w:p w:rsidR="00C4196E" w:rsidRDefault="00FF3E31">
            <w:r>
              <w:lastRenderedPageBreak/>
              <w:t>Ņemts vērā</w:t>
            </w:r>
          </w:p>
        </w:tc>
        <w:tc>
          <w:tcPr>
            <w:tcW w:w="3388" w:type="dxa"/>
            <w:shd w:val="clear" w:color="auto" w:fill="FFFFFF"/>
            <w:noWrap/>
            <w:tcMar>
              <w:top w:w="75" w:type="dxa"/>
              <w:left w:w="75" w:type="dxa"/>
              <w:bottom w:w="75" w:type="dxa"/>
              <w:right w:w="75" w:type="dxa"/>
            </w:tcMar>
          </w:tcPr>
          <w:p w:rsidR="00C4196E" w:rsidRDefault="00FF3E31">
            <w:r>
              <w:t>Papildināt 86.2. apakšpunktu aiz vārdiem "invaliditātes grupa" ar vārdiem "vai kuri ir vecāki par 55 gadiem".</w:t>
            </w:r>
          </w:p>
        </w:tc>
      </w:tr>
      <w:tr w:rsidR="00C4196E" w:rsidTr="00BF4DA7">
        <w:tc>
          <w:tcPr>
            <w:tcW w:w="1015" w:type="dxa"/>
            <w:shd w:val="clear" w:color="auto" w:fill="FFFFFF"/>
            <w:noWrap/>
            <w:tcMar>
              <w:top w:w="75" w:type="dxa"/>
              <w:left w:w="75" w:type="dxa"/>
              <w:bottom w:w="75" w:type="dxa"/>
              <w:right w:w="75" w:type="dxa"/>
            </w:tcMar>
          </w:tcPr>
          <w:p w:rsidR="00C4196E" w:rsidRDefault="00ED1527">
            <w:r>
              <w:t>3.</w:t>
            </w:r>
          </w:p>
        </w:tc>
        <w:tc>
          <w:tcPr>
            <w:tcW w:w="2098" w:type="dxa"/>
            <w:shd w:val="clear" w:color="auto" w:fill="FFFFFF"/>
            <w:noWrap/>
            <w:tcMar>
              <w:top w:w="75" w:type="dxa"/>
              <w:left w:w="75" w:type="dxa"/>
              <w:bottom w:w="75" w:type="dxa"/>
              <w:right w:w="75" w:type="dxa"/>
            </w:tcMar>
          </w:tcPr>
          <w:p w:rsidR="00C4196E" w:rsidRDefault="00ED1527">
            <w:pPr>
              <w:spacing w:after="240"/>
              <w:rPr>
                <w:b/>
              </w:rPr>
            </w:pPr>
            <w:r>
              <w:rPr>
                <w:b/>
              </w:rPr>
              <w:t>Noteikumu (grozījumu) projekts</w:t>
            </w:r>
          </w:p>
          <w:p w:rsidR="00C4196E" w:rsidRDefault="00ED1527">
            <w:r>
              <w:t xml:space="preserve"> </w:t>
            </w:r>
          </w:p>
        </w:tc>
        <w:tc>
          <w:tcPr>
            <w:tcW w:w="6520" w:type="dxa"/>
            <w:shd w:val="clear" w:color="auto" w:fill="FFFFFF"/>
            <w:noWrap/>
            <w:tcMar>
              <w:top w:w="75" w:type="dxa"/>
              <w:left w:w="75" w:type="dxa"/>
              <w:bottom w:w="75" w:type="dxa"/>
              <w:right w:w="75" w:type="dxa"/>
            </w:tcMar>
          </w:tcPr>
          <w:p w:rsidR="00FF3E31" w:rsidRDefault="00FF3E31" w:rsidP="00FF3E31">
            <w:pPr>
              <w:spacing w:after="240"/>
              <w:rPr>
                <w:b/>
              </w:rPr>
            </w:pPr>
            <w:r>
              <w:rPr>
                <w:b/>
              </w:rPr>
              <w:t>Priekšlikums (LM - 25.10.2023.)</w:t>
            </w:r>
          </w:p>
          <w:p w:rsidR="00D30E01" w:rsidRDefault="00D30E01">
            <w:r>
              <w:rPr>
                <w:rStyle w:val="scayt-misspell-word"/>
              </w:rPr>
              <w:t>MK</w:t>
            </w:r>
            <w:r>
              <w:t xml:space="preserve"> noteikumu Nr.75 88.2.apakšpunktā ir noteikts, ka subsidētās nodarbinātības ietvaros ikmēneša dotāciju darba vadītājiem, kas strādā ar darbā pieņemtajiem bezdarbniekiem ar invaliditāti, piešķir 10 </w:t>
            </w:r>
            <w:proofErr w:type="spellStart"/>
            <w:r>
              <w:rPr>
                <w:rStyle w:val="scayt-misspell-word"/>
              </w:rPr>
              <w:t>euro</w:t>
            </w:r>
            <w:proofErr w:type="spellEnd"/>
            <w:r>
              <w:t xml:space="preserve"> apmērā par katru darba vadīšanas dienu līdz diviem mēnešiem vai līdz sešiem mēnešiem, ja bezdarbnieka invaliditātes funkcionālais veids ir garīga rakstura traucējumi. Vienlaikus secināts, ka bezdarbniekiem ar smagāku invaliditāti nepieciešams ilgāks atbalsta periods subsidētās nodarbinātības sākumposmā.</w:t>
            </w:r>
          </w:p>
          <w:p w:rsidR="00D30E01" w:rsidRDefault="00D30E01"/>
          <w:p w:rsidR="00D30E01" w:rsidRPr="00D30E01" w:rsidRDefault="00D30E01">
            <w:r>
              <w:t xml:space="preserve">Sniedzot papildu atbalstu bezdarbnieku ar I un </w:t>
            </w:r>
            <w:r>
              <w:rPr>
                <w:rStyle w:val="scayt-misspell-word"/>
              </w:rPr>
              <w:t>II</w:t>
            </w:r>
            <w:r>
              <w:t xml:space="preserve"> invaliditātes grupu dalībai subsidētās nodarbinātības pasākumā, Noteikumu projekts paredz papildināt 88.2.apakšpunktu, nosakot, bezdarbniekiem, kuriem ir noteikta I vai </w:t>
            </w:r>
            <w:r>
              <w:rPr>
                <w:rStyle w:val="scayt-misspell-word"/>
              </w:rPr>
              <w:t>II</w:t>
            </w:r>
            <w:r>
              <w:t xml:space="preserve"> invaliditātes grupa, darba vadītāju paredzēts nodrošināt līdz trīs mēnešiem.</w:t>
            </w:r>
          </w:p>
          <w:p w:rsidR="00FF3E31" w:rsidRDefault="00FF3E31"/>
          <w:p w:rsidR="00C4196E" w:rsidRDefault="00ED1527">
            <w:pPr>
              <w:spacing w:before="240" w:after="240"/>
              <w:rPr>
                <w:i/>
              </w:rPr>
            </w:pPr>
            <w:r>
              <w:rPr>
                <w:i/>
              </w:rPr>
              <w:t>Piedāvātā redakcija</w:t>
            </w:r>
          </w:p>
          <w:p w:rsidR="00FF3E31" w:rsidRDefault="00FF3E31">
            <w:pPr>
              <w:spacing w:before="240" w:after="240"/>
              <w:rPr>
                <w:i/>
              </w:rPr>
            </w:pPr>
            <w:r>
              <w:lastRenderedPageBreak/>
              <w:t xml:space="preserve">Papildināt 88.3. apakšpunktu aiz vārdiem "līdz diviem mēnešiem" ar vārdiem "vai līdz trīs mēnešiem, ja bezdarbniekam ir noteikta I vai </w:t>
            </w:r>
            <w:r>
              <w:rPr>
                <w:rStyle w:val="scayt-misspell-word"/>
              </w:rPr>
              <w:t>II</w:t>
            </w:r>
            <w:r>
              <w:t xml:space="preserve"> invaliditātes grupa" .</w:t>
            </w:r>
          </w:p>
          <w:p w:rsidR="00C4196E" w:rsidRDefault="00ED1527">
            <w:r>
              <w:t>-</w:t>
            </w:r>
          </w:p>
        </w:tc>
        <w:tc>
          <w:tcPr>
            <w:tcW w:w="1701" w:type="dxa"/>
            <w:shd w:val="clear" w:color="auto" w:fill="FFFFFF"/>
            <w:noWrap/>
            <w:tcMar>
              <w:top w:w="75" w:type="dxa"/>
              <w:left w:w="75" w:type="dxa"/>
              <w:bottom w:w="75" w:type="dxa"/>
              <w:right w:w="75" w:type="dxa"/>
            </w:tcMar>
          </w:tcPr>
          <w:p w:rsidR="00C4196E" w:rsidRDefault="00FF3E31">
            <w:r>
              <w:lastRenderedPageBreak/>
              <w:t>Ņemts vērā</w:t>
            </w:r>
          </w:p>
        </w:tc>
        <w:tc>
          <w:tcPr>
            <w:tcW w:w="3388" w:type="dxa"/>
            <w:shd w:val="clear" w:color="auto" w:fill="FFFFFF"/>
            <w:noWrap/>
            <w:tcMar>
              <w:top w:w="75" w:type="dxa"/>
              <w:left w:w="75" w:type="dxa"/>
              <w:bottom w:w="75" w:type="dxa"/>
              <w:right w:w="75" w:type="dxa"/>
            </w:tcMar>
          </w:tcPr>
          <w:p w:rsidR="00C4196E" w:rsidRDefault="00FF3E31">
            <w:r>
              <w:t xml:space="preserve">Papildināt 88.3. apakšpunktu aiz vārdiem "līdz diviem mēnešiem" ar vārdiem "vai līdz trīs mēnešiem, ja bezdarbniekam ir noteikta I vai </w:t>
            </w:r>
            <w:r>
              <w:rPr>
                <w:rStyle w:val="scayt-misspell-word"/>
              </w:rPr>
              <w:t>II</w:t>
            </w:r>
            <w:r>
              <w:t xml:space="preserve"> invaliditātes grupa" .</w:t>
            </w:r>
          </w:p>
        </w:tc>
      </w:tr>
      <w:tr w:rsidR="00C4196E" w:rsidTr="00BF4DA7">
        <w:tc>
          <w:tcPr>
            <w:tcW w:w="1015" w:type="dxa"/>
            <w:shd w:val="clear" w:color="auto" w:fill="FFFFFF"/>
            <w:noWrap/>
            <w:tcMar>
              <w:top w:w="75" w:type="dxa"/>
              <w:left w:w="75" w:type="dxa"/>
              <w:bottom w:w="75" w:type="dxa"/>
              <w:right w:w="75" w:type="dxa"/>
            </w:tcMar>
          </w:tcPr>
          <w:p w:rsidR="00C4196E" w:rsidRDefault="00ED1527">
            <w:r>
              <w:t>4.</w:t>
            </w:r>
          </w:p>
        </w:tc>
        <w:tc>
          <w:tcPr>
            <w:tcW w:w="2098" w:type="dxa"/>
            <w:shd w:val="clear" w:color="auto" w:fill="FFFFFF"/>
            <w:noWrap/>
            <w:tcMar>
              <w:top w:w="75" w:type="dxa"/>
              <w:left w:w="75" w:type="dxa"/>
              <w:bottom w:w="75" w:type="dxa"/>
              <w:right w:w="75" w:type="dxa"/>
            </w:tcMar>
          </w:tcPr>
          <w:p w:rsidR="00C4196E" w:rsidRDefault="00ED1527">
            <w:pPr>
              <w:spacing w:after="240"/>
              <w:rPr>
                <w:b/>
              </w:rPr>
            </w:pPr>
            <w:r>
              <w:rPr>
                <w:b/>
              </w:rPr>
              <w:t>Noteikumu (grozījumu) projekts</w:t>
            </w:r>
          </w:p>
          <w:p w:rsidR="00C4196E" w:rsidRDefault="00ED1527">
            <w:r>
              <w:t xml:space="preserve"> </w:t>
            </w:r>
          </w:p>
        </w:tc>
        <w:tc>
          <w:tcPr>
            <w:tcW w:w="6520" w:type="dxa"/>
            <w:shd w:val="clear" w:color="auto" w:fill="FFFFFF"/>
            <w:noWrap/>
            <w:tcMar>
              <w:top w:w="75" w:type="dxa"/>
              <w:left w:w="75" w:type="dxa"/>
              <w:bottom w:w="75" w:type="dxa"/>
              <w:right w:w="75" w:type="dxa"/>
            </w:tcMar>
          </w:tcPr>
          <w:p w:rsidR="00FF3E31" w:rsidRDefault="00FF3E31" w:rsidP="00FF3E31">
            <w:pPr>
              <w:spacing w:after="240"/>
              <w:rPr>
                <w:b/>
              </w:rPr>
            </w:pPr>
            <w:r>
              <w:rPr>
                <w:b/>
              </w:rPr>
              <w:t>Priekšlikums (LM - 25.10.2023.)</w:t>
            </w:r>
          </w:p>
          <w:p w:rsidR="00C4196E" w:rsidRDefault="002601B8">
            <w:r>
              <w:t>2020. gada otrajā pusgadā Aģentūra sadarbībā ar starptautisko tiešsaistes kursu platformu “</w:t>
            </w:r>
            <w:proofErr w:type="spellStart"/>
            <w:r>
              <w:rPr>
                <w:rStyle w:val="scayt-misspell-word"/>
              </w:rPr>
              <w:t>Coursera</w:t>
            </w:r>
            <w:proofErr w:type="spellEnd"/>
            <w:r>
              <w:t xml:space="preserve">” sniedza iespēju bezdarbniekiem apgūt platformas piedāvātos kursus bez maksas.  Ņemot vērā lielo Aģe4ntūras klientu interesi, īpaši par digitālajām prasmēm, līdz ar šīs sadarbības </w:t>
            </w:r>
            <w:r>
              <w:rPr>
                <w:rStyle w:val="scayt-misspell-word"/>
              </w:rPr>
              <w:t>noslēgšanos</w:t>
            </w:r>
            <w:r>
              <w:t xml:space="preserve"> tika nolemts papildināt </w:t>
            </w:r>
            <w:r>
              <w:rPr>
                <w:rStyle w:val="scayt-misspell-word"/>
              </w:rPr>
              <w:t>MK</w:t>
            </w:r>
            <w:r>
              <w:t xml:space="preserve"> noteikumus, paredzot tiešsaistes platformas kā pastāvīgu mācību piedāvājumu, līdzfinansējot gan “</w:t>
            </w:r>
            <w:proofErr w:type="spellStart"/>
            <w:r>
              <w:rPr>
                <w:rStyle w:val="scayt-misspell-word"/>
              </w:rPr>
              <w:t>Coursera</w:t>
            </w:r>
            <w:proofErr w:type="spellEnd"/>
            <w:r>
              <w:t xml:space="preserve">”, gan līdzīgu platformu kursus. Tādējādi iesāktā iniciatīva tika turpināta 2021. gadā, piedāvājot mācības pilotprojekta “Nākotnes prasmju iniciatīva” pasākumā “Atbalsts programmu apguvei atvērto tiešsaistes kursu platformās”, ar mērķi sekmēt pieprasītu atvērto tiešsaistes kursu apguvi un ātrāku bezdarbnieku un darba meklētāju atgriešanos darba tirgū </w:t>
            </w:r>
            <w:proofErr w:type="spellStart"/>
            <w:r>
              <w:rPr>
                <w:rStyle w:val="scayt-misspell-word"/>
              </w:rPr>
              <w:t>pēckrīzes</w:t>
            </w:r>
            <w:proofErr w:type="spellEnd"/>
            <w:r>
              <w:t xml:space="preserve"> periodā. Vienlaikus, sākot no 2021. gada septembra, tika iekļauta jauna atbalstāmā </w:t>
            </w:r>
            <w:proofErr w:type="spellStart"/>
            <w:r>
              <w:t>mērķgrupa</w:t>
            </w:r>
            <w:proofErr w:type="spellEnd"/>
            <w:r>
              <w:t xml:space="preserve"> – bezdarba riskam pakļautās personas, lai atbalstītu arī nodarbināto iesaisti tiešsaistes platformās un kvalifikācijas celšanu labāk apmaksātam un produktīvākam darbam.</w:t>
            </w:r>
            <w:r>
              <w:br/>
              <w:t xml:space="preserve">Atbilstoši individuālajam darba meklēšanas plānam un pilotprojekta iesaistes nosacījumiem, Aģentūras klientam tika sniegta iespēja platformu brīvai izvēlei, vienlaikus tām bija jāatbilst noteiktiem kvalitātes kritērijiem saskaņā ar </w:t>
            </w:r>
            <w:r>
              <w:rPr>
                <w:rStyle w:val="scayt-misspell-word"/>
              </w:rPr>
              <w:t>MK</w:t>
            </w:r>
            <w:r>
              <w:t xml:space="preserve"> noteikumiem, piemēram, vismaz 10 no platformā izvietotajām augstākās izglītības iestādēm jābūt iekļautām pasaules labāko augstākās izglītības iestāžu  “</w:t>
            </w:r>
            <w:proofErr w:type="spellStart"/>
            <w:r>
              <w:rPr>
                <w:rStyle w:val="scayt-misspell-word"/>
              </w:rPr>
              <w:t>Times</w:t>
            </w:r>
            <w:proofErr w:type="spellEnd"/>
            <w:r>
              <w:t xml:space="preserve"> </w:t>
            </w:r>
            <w:proofErr w:type="spellStart"/>
            <w:r>
              <w:rPr>
                <w:rStyle w:val="scayt-misspell-word"/>
              </w:rPr>
              <w:t>Higher</w:t>
            </w:r>
            <w:proofErr w:type="spellEnd"/>
            <w:r>
              <w:t xml:space="preserve"> </w:t>
            </w:r>
            <w:proofErr w:type="spellStart"/>
            <w:r>
              <w:rPr>
                <w:rStyle w:val="scayt-misspell-word"/>
              </w:rPr>
              <w:t>Education</w:t>
            </w:r>
            <w:proofErr w:type="spellEnd"/>
            <w:r>
              <w:t xml:space="preserve">” apkopotajā reitingā. Gadījumā, ja platforma piedāvā mazāk nekā 10 augstākās </w:t>
            </w:r>
            <w:r>
              <w:lastRenderedPageBreak/>
              <w:t>izglītības iestāžu mācību programmas, minētajā reitingā jābūt iekļautām visām augstākās izglītības iestādēm.  Aģentūras klientu iesaiste pilotprojektā noritēja no 08.09.2021. – 05.07.2022. Novērtējot pilotprojekta rezultātus un nodrošinot piedāvājuma nepārtrauktību, ar 2022.gada 6.jūliju pasākums “Atbalsts programmu apguvei atvērto tiešsaistes kursu platformās” tika iekļauts Aģentūras pastāvīgo mācību piedāvājumu klāstā.</w:t>
            </w:r>
            <w:r>
              <w:br/>
              <w:t>2022. un 2023.gadā mācības tika atbalstītas trijās attālināto mācību platformās: “</w:t>
            </w:r>
            <w:proofErr w:type="spellStart"/>
            <w:r>
              <w:rPr>
                <w:rStyle w:val="scayt-misspell-word"/>
              </w:rPr>
              <w:t>Coursera</w:t>
            </w:r>
            <w:proofErr w:type="spellEnd"/>
            <w:r>
              <w:t>” (90% īpatsvara izvēle Aģentūras klientu vidū), “</w:t>
            </w:r>
            <w:proofErr w:type="spellStart"/>
            <w:r>
              <w:rPr>
                <w:rStyle w:val="scayt-misspell-word"/>
              </w:rPr>
              <w:t>EdX</w:t>
            </w:r>
            <w:proofErr w:type="spellEnd"/>
            <w:r>
              <w:t>” (9% klientu izvēle), “</w:t>
            </w:r>
            <w:proofErr w:type="spellStart"/>
            <w:r>
              <w:rPr>
                <w:rStyle w:val="scayt-misspell-word"/>
              </w:rPr>
              <w:t>FutureLearn</w:t>
            </w:r>
            <w:proofErr w:type="spellEnd"/>
            <w:r>
              <w:t xml:space="preserve">” (1% klientu izvēle). Tiešsaistes mācībām ir sava vadības grupa, kas, izvērtējot mācību rezultātus, lemj par nepieciešamajiem mācību </w:t>
            </w:r>
            <w:r>
              <w:rPr>
                <w:rStyle w:val="scayt-misspell-word"/>
              </w:rPr>
              <w:t>pielāg</w:t>
            </w:r>
            <w:r w:rsidR="009F0936">
              <w:rPr>
                <w:rStyle w:val="scayt-misspell-word"/>
              </w:rPr>
              <w:t>o</w:t>
            </w:r>
            <w:r>
              <w:rPr>
                <w:rStyle w:val="scayt-misspell-word"/>
              </w:rPr>
              <w:t>jumiem</w:t>
            </w:r>
            <w:r>
              <w:t xml:space="preserve">. Piemēram, ar 2022.gada 6.decembra grozījumiem </w:t>
            </w:r>
            <w:r>
              <w:rPr>
                <w:rStyle w:val="scayt-misspell-word"/>
              </w:rPr>
              <w:t>MK</w:t>
            </w:r>
            <w:r>
              <w:t xml:space="preserve"> noteikumos netika ierobežots maksimālais programmu skaits (iepriekš 6), ko var apgūt 2 gadu periodā, saglabājot pieejamo atbalsts mācību izmaksu kompensācijai līdz 500 </w:t>
            </w:r>
            <w:proofErr w:type="spellStart"/>
            <w:r>
              <w:rPr>
                <w:rStyle w:val="scayt-misspell-word"/>
              </w:rPr>
              <w:t>euro</w:t>
            </w:r>
            <w:proofErr w:type="spellEnd"/>
            <w:r>
              <w:t xml:space="preserve"> divu gadu laikā ar iespēju saņemt no Aģentūras </w:t>
            </w:r>
            <w:proofErr w:type="spellStart"/>
            <w:r>
              <w:rPr>
                <w:rStyle w:val="scayt-misspell-word"/>
              </w:rPr>
              <w:t>priekšfinansējumu</w:t>
            </w:r>
            <w:proofErr w:type="spellEnd"/>
            <w:r>
              <w:t xml:space="preserve"> 50 %. Tāpat, lai noteiktu konkrētu mācību laiku mērķa grupām dalībai mācību platformās, nodarbinātajiem tika paredzēta mācību intensitāte 5 stundas nedēļā, savukārt bezdarbniekiem četras mācību stundas dienā katru darbdienu.</w:t>
            </w:r>
          </w:p>
          <w:p w:rsidR="009F0936" w:rsidRDefault="009F0936"/>
          <w:p w:rsidR="009F0936" w:rsidRDefault="009F0936">
            <w:r>
              <w:t xml:space="preserve">Atbilstoši augstāk minētajiem apguves nosacījumiem un vadības grupas 2023.gada mācību </w:t>
            </w:r>
            <w:proofErr w:type="spellStart"/>
            <w:r>
              <w:t>izvērtējumam</w:t>
            </w:r>
            <w:proofErr w:type="spellEnd"/>
            <w:r>
              <w:t xml:space="preserve"> grozījumu projekts paredz noteikt arī maksimālo vienas programmu apguves ilgumu efektīvākai kursu apguvei, lai viena kursa mācības klients apgūtu samērīgos un noteiktos termiņos (viena kursa apguvei nekļūstot nesamērīgi ilgai). Proti, bezdarbniekiem - kopā nepārsniedzot 4 mēnešus, bet bezdarba riskam pakļautai personai – kopā nepārsniedzot 6 mēnešus. Vienlaikus, ņemot vērā augsto </w:t>
            </w:r>
            <w:proofErr w:type="spellStart"/>
            <w:r>
              <w:rPr>
                <w:rStyle w:val="scayt-misspell-word"/>
              </w:rPr>
              <w:t>Coursera</w:t>
            </w:r>
            <w:proofErr w:type="spellEnd"/>
            <w:r>
              <w:t> platformas īpatsvaru Aģentūras klientu vidū, efektīvākam atbalstam klientiem </w:t>
            </w:r>
            <w:proofErr w:type="spellStart"/>
            <w:r>
              <w:rPr>
                <w:rStyle w:val="scayt-misspell-word"/>
              </w:rPr>
              <w:t>Coursera</w:t>
            </w:r>
            <w:proofErr w:type="spellEnd"/>
            <w:r>
              <w:t xml:space="preserve"> platformām, kas izriet </w:t>
            </w:r>
            <w:r>
              <w:lastRenderedPageBreak/>
              <w:t>no </w:t>
            </w:r>
            <w:proofErr w:type="spellStart"/>
            <w:r>
              <w:rPr>
                <w:rStyle w:val="scayt-misspell-word"/>
              </w:rPr>
              <w:t>Coursera</w:t>
            </w:r>
            <w:proofErr w:type="spellEnd"/>
            <w:r>
              <w:t> un Aģentūras sadarbības, turpmāk par dalību mācībās tiešsaistes platformā netiks slēgts līgums ar klientu. Gadījumā, kad klients izvēlēsies apgūt programmu no citas (ne </w:t>
            </w:r>
            <w:proofErr w:type="spellStart"/>
            <w:r>
              <w:rPr>
                <w:rStyle w:val="scayt-misspell-word"/>
              </w:rPr>
              <w:t>Coursera</w:t>
            </w:r>
            <w:proofErr w:type="spellEnd"/>
            <w:r>
              <w:t>) platformas, tam tiks segti izdevumi, kad viņš uzrādīs iegūto apliecību, savukārt klientam, kurš izvēlēsies mācīties </w:t>
            </w:r>
            <w:proofErr w:type="spellStart"/>
            <w:r>
              <w:rPr>
                <w:rStyle w:val="scayt-misspell-word"/>
              </w:rPr>
              <w:t>Coursera</w:t>
            </w:r>
            <w:proofErr w:type="spellEnd"/>
            <w:r>
              <w:t xml:space="preserve"> platformā, uz noteiktu laiku tiks piešķirta piekļuve platformai. Līdz ar to grozījumu projekts paredz kā izņēmumu </w:t>
            </w:r>
            <w:r>
              <w:rPr>
                <w:rStyle w:val="scayt-misspell-word"/>
              </w:rPr>
              <w:t>MK</w:t>
            </w:r>
            <w:r>
              <w:t> noteikumu 35.punktā piemērot arī mācības tiešsaistes platformās (izņemot šo noteikumu 21.7. apakšpunktā un 6.1. apakšnodaļā minētās apmācības programmas). Izrietoši nepieciešam</w:t>
            </w:r>
            <w:bookmarkStart w:id="0" w:name="_GoBack"/>
            <w:bookmarkEnd w:id="0"/>
            <w:r>
              <w:t>s grozīt 35.</w:t>
            </w:r>
            <w:r>
              <w:rPr>
                <w:vertAlign w:val="superscript"/>
              </w:rPr>
              <w:t>1</w:t>
            </w:r>
            <w:r>
              <w:t> punktu, svītrojot vārdus  “vai 21.7. apakšpunktā”, jo par dalību mācībās tiešsaistes platformās izdevumi klientiem tiks segti pēc tam, kad klients būs pabeidzis apmācību un ieguvis zināšanu apliecinošo dokumentu. Tādējādi izdevumi, kurus potenciāli būtu jāatlīdzina no klienta neveidosies, jo turpmāk ar klientiem netiks slēgts līgums. Secīgi grozījumi 46.</w:t>
            </w:r>
            <w:r>
              <w:rPr>
                <w:vertAlign w:val="superscript"/>
              </w:rPr>
              <w:t>2</w:t>
            </w:r>
            <w:r>
              <w:t> punktā paredz papildinājumu iekavās ar vārdiem “ja attiecināms”, jo gadījumā, kad klients piedalīsies </w:t>
            </w:r>
            <w:proofErr w:type="spellStart"/>
            <w:r>
              <w:rPr>
                <w:rStyle w:val="scayt-misspell-word"/>
              </w:rPr>
              <w:t>Coursera</w:t>
            </w:r>
            <w:proofErr w:type="spellEnd"/>
            <w:r>
              <w:t> (iepriekš Aģentūra apmaksātajā pakalpojumā), klientam neveidosies izdevumi, kurus Aģentūrai būtu jāatlīdzina. Savukārt gadījumos, kad klients izvēlēsies mācīties citā platformā, sākotnēji apmaksājot pakalpojumu no saviem līdzekļiem, kompensācijas nosacījumi jāsaglabā.</w:t>
            </w:r>
            <w:r>
              <w:br/>
              <w:t>Papildus tāpat kā citos mācību pasākumos 46.</w:t>
            </w:r>
            <w:r>
              <w:rPr>
                <w:vertAlign w:val="superscript"/>
              </w:rPr>
              <w:t>2</w:t>
            </w:r>
            <w:r>
              <w:t xml:space="preserve"> nepieciešams noteikt disciplinējošā rakstura sankciju - liegumu uz 12 mēnešiem atkārtoti iesaistīties platformu mācībās gadījumos, ja Aģentūras klients izmanto piedāvāto iespēju mācīties tiešsaistes platformās, bet gala pārbaudījumu nekārto un programmas apguvi apliecinošo dokumentu nesaņem.</w:t>
            </w:r>
          </w:p>
          <w:p w:rsidR="00C4196E" w:rsidRDefault="00ED1527">
            <w:pPr>
              <w:spacing w:before="240" w:after="240"/>
              <w:rPr>
                <w:i/>
              </w:rPr>
            </w:pPr>
            <w:r>
              <w:rPr>
                <w:i/>
              </w:rPr>
              <w:t>Piedāvātā redakcija</w:t>
            </w:r>
          </w:p>
          <w:p w:rsidR="00C4196E" w:rsidRDefault="00FF3E31">
            <w:r>
              <w:lastRenderedPageBreak/>
              <w:t>Papildināt 35. punkta pirmo teikumu aiz vārdiem "izņemot šo noteikumu" ar skaitļiem un vārdiem "21.7.apakšpunktā un".</w:t>
            </w:r>
          </w:p>
          <w:p w:rsidR="00FF3E31" w:rsidRDefault="00FF3E31"/>
          <w:p w:rsidR="00FF3E31" w:rsidRDefault="00FF3E31">
            <w:r>
              <w:t>Svītrot 35.</w:t>
            </w:r>
            <w:r>
              <w:rPr>
                <w:vertAlign w:val="superscript"/>
              </w:rPr>
              <w:t>1</w:t>
            </w:r>
            <w:r>
              <w:t xml:space="preserve"> punkta pirmajā teikumā vārdus un skaitļus "vai 21.7. apakšpunktā".</w:t>
            </w:r>
          </w:p>
          <w:p w:rsidR="00FF3E31" w:rsidRDefault="00FF3E31"/>
          <w:p w:rsidR="00FF3E31" w:rsidRDefault="00FF3E31">
            <w:r>
              <w:t>Izteikt 46.</w:t>
            </w:r>
            <w:r>
              <w:rPr>
                <w:vertAlign w:val="superscript"/>
              </w:rPr>
              <w:t>2</w:t>
            </w:r>
            <w:r>
              <w:t xml:space="preserve"> punktu šādā redakcijā:</w:t>
            </w:r>
            <w:r>
              <w:br/>
              <w:t>"46.</w:t>
            </w:r>
            <w:r>
              <w:rPr>
                <w:vertAlign w:val="superscript"/>
              </w:rPr>
              <w:t>2</w:t>
            </w:r>
            <w:r>
              <w:t> Ja bezdarbnieks, darba meklētājs vai bezdarba riskam pakļautā persona apgūst mācību programmu šo noteikumu 21.7. apakšpunktā minētajā atvērto tiešsaistes kursu platformā, aģentūra 15 dienu laikā pēc kursa apguvi apliecinoša dokumenta un maksājumu apliecinoša dokumenta saņemšanas izmaksā kompensāciju par mācību programmas apguvi un apliecinājuma dokumenta saņemšanu (ja attiecināms).</w:t>
            </w:r>
            <w:r w:rsidR="00C1649D">
              <w:t xml:space="preserve"> Ja bezdarbnieks, darba meklētājs vai bezdarba riskam pakļautā persona pēc šo noteikumu 21.7. apakšpunktā minētās mācību programmas apguves bez attaisnojošiem iemesliem nekārto un nesaņem programmas apguvi apliecinošo dokumentu, aģentūra turpmāko 12 mēnešu laikā vai līdz minētā eksāmena vai noslēguma pārbaudījuma nokārtošanai neiesaista viņu šo noteikumu 21.7. apakšpunktā minētajā pasākumā.</w:t>
            </w:r>
            <w:r w:rsidR="009F0936">
              <w:rPr>
                <w:color w:val="212121"/>
                <w:shd w:val="clear" w:color="auto" w:fill="FFFFFF"/>
              </w:rPr>
              <w:t>.</w:t>
            </w:r>
            <w:r>
              <w:t>"</w:t>
            </w:r>
          </w:p>
        </w:tc>
        <w:tc>
          <w:tcPr>
            <w:tcW w:w="1701" w:type="dxa"/>
            <w:shd w:val="clear" w:color="auto" w:fill="FFFFFF"/>
            <w:noWrap/>
            <w:tcMar>
              <w:top w:w="75" w:type="dxa"/>
              <w:left w:w="75" w:type="dxa"/>
              <w:bottom w:w="75" w:type="dxa"/>
              <w:right w:w="75" w:type="dxa"/>
            </w:tcMar>
          </w:tcPr>
          <w:p w:rsidR="00C4196E" w:rsidRDefault="00FF3E31">
            <w:r>
              <w:lastRenderedPageBreak/>
              <w:t>Ņemts vērā</w:t>
            </w:r>
          </w:p>
        </w:tc>
        <w:tc>
          <w:tcPr>
            <w:tcW w:w="3388" w:type="dxa"/>
            <w:shd w:val="clear" w:color="auto" w:fill="FFFFFF"/>
            <w:noWrap/>
            <w:tcMar>
              <w:top w:w="75" w:type="dxa"/>
              <w:left w:w="75" w:type="dxa"/>
              <w:bottom w:w="75" w:type="dxa"/>
              <w:right w:w="75" w:type="dxa"/>
            </w:tcMar>
          </w:tcPr>
          <w:p w:rsidR="00C4196E" w:rsidRDefault="00FF3E31">
            <w:r>
              <w:t>Papildināt 35. punkta pirmo teikumu aiz vārdiem "izņemot šo noteikumu" ar skaitļiem un vārdiem "21.7.apakšpunktā un".</w:t>
            </w:r>
          </w:p>
          <w:p w:rsidR="00FF3E31" w:rsidRDefault="00FF3E31"/>
          <w:p w:rsidR="00FF3E31" w:rsidRDefault="00FF3E31">
            <w:r>
              <w:t>Svītrot 35.</w:t>
            </w:r>
            <w:r>
              <w:rPr>
                <w:vertAlign w:val="superscript"/>
              </w:rPr>
              <w:t>1</w:t>
            </w:r>
            <w:r>
              <w:t xml:space="preserve"> punkta pirmajā teikumā vārdus un skaitļus "vai 21.7. apakšpunktā".</w:t>
            </w:r>
          </w:p>
          <w:p w:rsidR="00FF3E31" w:rsidRDefault="00FF3E31"/>
          <w:p w:rsidR="00FF3E31" w:rsidRDefault="00FF3E31">
            <w:r>
              <w:t>Izteikt 46.</w:t>
            </w:r>
            <w:r>
              <w:rPr>
                <w:vertAlign w:val="superscript"/>
              </w:rPr>
              <w:t>2</w:t>
            </w:r>
            <w:r>
              <w:t xml:space="preserve"> punktu šādā redakcijā:</w:t>
            </w:r>
            <w:r>
              <w:br/>
              <w:t>"46.</w:t>
            </w:r>
            <w:r>
              <w:rPr>
                <w:vertAlign w:val="superscript"/>
              </w:rPr>
              <w:t>2</w:t>
            </w:r>
            <w:r>
              <w:t> Ja bezdarbnieks, darba meklētājs vai bezdarba riskam pakļautā persona apgūst mācību programmu šo noteikumu 21.7. apakšpunktā minētajā atvērto tiešsaistes kursu platformā, aģentūra 15 dienu laikā pēc kursa apguvi apliecinoša dokumenta un maksājumu apliecinoša dokumenta saņemšanas izmaksā kompensāciju par mācību programmas apguvi un apliecinājuma dokumenta saņemšanu (ja attiecināms).</w:t>
            </w:r>
            <w:r w:rsidR="00C1649D">
              <w:t xml:space="preserve"> Ja bezdarbnieks, darba meklētājs vai bezdarba riskam pakļautā persona pēc šo noteikumu 21.7. </w:t>
            </w:r>
            <w:r w:rsidR="00C1649D">
              <w:lastRenderedPageBreak/>
              <w:t xml:space="preserve">apakšpunktā minētās mācību programmas apguves bez attaisnojošiem iemesliem nekārto un nesaņem programmas apguvi apliecinošo dokumentu, aģentūra turpmāko 12 mēnešu laikā vai līdz minētā eksāmena vai noslēguma pārbaudījuma nokārtošanai neiesaista viņu šo noteikumu 21.7. apakšpunktā minētajā pasākumā. </w:t>
            </w:r>
            <w:r>
              <w:t>"</w:t>
            </w:r>
          </w:p>
        </w:tc>
      </w:tr>
    </w:tbl>
    <w:p w:rsidR="00ED1527" w:rsidRDefault="00ED1527"/>
    <w:sectPr w:rsidR="00ED1527">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3880" w:rsidRDefault="007C3880">
      <w:r>
        <w:separator/>
      </w:r>
    </w:p>
  </w:endnote>
  <w:endnote w:type="continuationSeparator" w:id="0">
    <w:p w:rsidR="007C3880" w:rsidRDefault="007C3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96E" w:rsidRDefault="00ED1527">
    <w:pPr>
      <w:jc w:val="right"/>
    </w:pPr>
    <w:r>
      <w:rPr>
        <w:szCs w:val="24"/>
      </w:rPr>
      <w:fldChar w:fldCharType="begin"/>
    </w:r>
    <w:r>
      <w:rPr>
        <w:szCs w:val="24"/>
      </w:rPr>
      <w:instrText>PAGE</w:instrText>
    </w:r>
    <w:r>
      <w:rPr>
        <w:szCs w:val="24"/>
      </w:rPr>
      <w:fldChar w:fldCharType="separate"/>
    </w:r>
    <w:r w:rsidR="00FF3E31">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1B56" w:rsidRDefault="00ED152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3880" w:rsidRDefault="007C3880">
      <w:r>
        <w:separator/>
      </w:r>
    </w:p>
  </w:footnote>
  <w:footnote w:type="continuationSeparator" w:id="0">
    <w:p w:rsidR="007C3880" w:rsidRDefault="007C3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96E" w:rsidRDefault="00ED1527">
    <w:pPr>
      <w:pStyle w:val="Header"/>
      <w:contextualSpacing w:val="0"/>
    </w:pPr>
    <w:r>
      <w:t>Izziņa 23-TA-1024</w:t>
    </w:r>
    <w:r>
      <w:br/>
      <w:t>Izdrukāts 03.10.2023. 13.40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96E" w:rsidRDefault="00ED1527">
    <w:pPr>
      <w:pStyle w:val="Header"/>
      <w:contextualSpacing w:val="0"/>
    </w:pPr>
    <w:r>
      <w:t>Izziņa 23-TA-1024</w:t>
    </w:r>
    <w:r>
      <w:br/>
      <w:t>Izdrukāts 03.10.2023. 13.40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96E"/>
    <w:rsid w:val="00070D99"/>
    <w:rsid w:val="002601B8"/>
    <w:rsid w:val="007C3880"/>
    <w:rsid w:val="007E1B56"/>
    <w:rsid w:val="0081251B"/>
    <w:rsid w:val="009C78DA"/>
    <w:rsid w:val="009F0936"/>
    <w:rsid w:val="00BF4DA7"/>
    <w:rsid w:val="00C157F8"/>
    <w:rsid w:val="00C1649D"/>
    <w:rsid w:val="00C4196E"/>
    <w:rsid w:val="00D07C73"/>
    <w:rsid w:val="00D30E01"/>
    <w:rsid w:val="00ED1527"/>
    <w:rsid w:val="00FF3E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73059"/>
  <w15:docId w15:val="{4CB46EF6-6F45-459C-A9E6-3960519AE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 w:type="character" w:customStyle="1" w:styleId="scayt-misspell-word">
    <w:name w:val="scayt-misspell-word"/>
    <w:basedOn w:val="DefaultParagraphFont"/>
    <w:rsid w:val="00FF3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857</TotalTime>
  <Pages>7</Pages>
  <Words>7712</Words>
  <Characters>4397</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Izziņa_23-TA-1024.docx</vt:lpstr>
    </vt:vector>
  </TitlesOfParts>
  <Company/>
  <LinksUpToDate>false</LinksUpToDate>
  <CharactersWithSpaces>12085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Izziņa_23-TA-1024.docx</dc:title>
  <dc:creator>Olga Iļjina</dc:creator>
  <cp:lastModifiedBy>Olga Iļjina</cp:lastModifiedBy>
  <cp:revision>9</cp:revision>
  <dcterms:created xsi:type="dcterms:W3CDTF">2023-10-24T17:43:00Z</dcterms:created>
  <dcterms:modified xsi:type="dcterms:W3CDTF">2023-10-26T12:12:00Z</dcterms:modified>
</cp:coreProperties>
</file>