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23-TA-262: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 profesionālās izglītības iestādes, to izglītojamie, absolventi, jaunie profesionāļi vecumā līdz 25 gadiem un pedagogi.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jēdziena “jaunie profesionāļi” skaidrojumu, atbilstoši Ministru kabineta 2009. gada 3. februāra noteikumu Nr. 108 ''Normatīvo aktu projektu sagatavošanas noteikumi'' (turpmāk – noteikumi Nr.108) 3.4. nodaļai.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jaunie profesionāļi ir profesionālās izglītības iestāžu audzēkņi un  absolventi vecumā līdz 25 gadiem. Vecuma ierobežojums noteikts saskaņā ar starptautiskās organizācijas </w:t>
            </w:r>
            <w:r w:rsidR="00000000" w:rsidRPr="00000000" w:rsidDel="00000000">
              <w:rPr>
                <w:i w:val="1"/>
                <w:rtl w:val="0"/>
              </w:rPr>
              <w:t xml:space="preserve">WorldSkillls Europe</w:t>
            </w:r>
            <w:r w:rsidR="00000000" w:rsidRPr="00000000" w:rsidDel="00000000">
              <w:rPr>
                <w:rtl w:val="0"/>
              </w:rPr>
              <w:t xml:space="preserve"> konkursu noteikumiem, kur dalības vecuma ierobežojums dalībvalstu konkursantiem ir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Tehniski precizēta noteikumu projekta redakcija,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 profesionālās izglītības iestādes, to izglītojamie, absolventi - jaunie profesionāļi vecumā līdz 25 gadiem un pedagogi.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atbalsts profesionālās izglītības iestādēm un to pedagogiem darbā ar talantīgajiem audzēkņiem profesionālo prasmju apguvē un pilnveidē: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13.3.  apakšpunkts pašreizējā redakcijā ir subjektīvs. Normā lietotā frāze "talantīgie audzēkņi" padara tiesību normu neskaidru, iespējams, diskriminējošu. Vēršam uzmanību, ka, ieviešot šādi formulētu regulējumu, netiks skaidri noteikti audzēkņi, kas kvalificējas atbalsta saņemšanai. Līdz ar to nepieciešams precizēt minēto noteikumu projekta normu tā, lai tās lietotājs un piemērotājs gūtu nepārprotamu priekšstatu par saviem pienākumiem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ja noteikumu projektā paredzēts atbalsts noteiktām audzēkņu grupām (norma ierobežo atbalsta saņēmēju loku), tad lūdzam anotācijā to skaidrot un pamatot.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4.2.2.9. pasākuma otrās kārta ir mērķēta uz talantu identificēšanu un  atbalstu profesionālajā izglītībā, ar to saprotot, ka katrā audzēknī var atklāt talantu, dodot iespēju piedalīties un pilnveidot savas prasmes.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arī Izglītības attīstības pamatnostādnēs 2021.-2027.gadam (MK rīkojums Nr. 436, 2021.gada 22.jūnijā) noteikts: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uzdevums. Nodrošināt individuālo kompetenču attīstību “Izglītības sistēmai ir jānodrošina ikviena izglītojamā individuālā snieguma un kompetenču attīstība, paredzot atbilstošus atbalsta mehānismus dažādām izglītojamo grupām - gan talantīgajiem un uz izcilību vērstajiem, gan izglītojamajiem ar vidēju sniegumu, gan izglītojamajiem ar vāju sniegumu vai mācīšanās grūtībām.”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“Talantu motivēšana un atbalstīšana profesionālajā izglītībā plānota kā nacionāla un starptautiska mēroga pasākumu īstenošana - nacionālā mērogā prasmju konkurss "SkillsLatvija" un Latvijas Nacionālā kultūras centra organizētie konkursi mūzikā, dejā, mākslā un dizainā; starptautiski jauno profesionāļu meistarības konkursi - EuroSkills un WorldSkills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4.2.2.9. pasākuma otrās kārta ir mērķēta uz talantu identificēšanu un  atbalstu profesionālajā izglītībā, ar to saprotot, ka katrā audzēknī var atklāt talantu, dodot iespēju piedalīties un pilnveidot savas prasmes.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atbalsts profesionālās izglītības iestādēm un to pedagogiem darbā ar talantīgajiem audzēkņiem profesionālo prasmju apguvē un pilnveidē: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14.1.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Vienkāršotās izmaksas ir plānots piemērot izmaksām, kas norādītas noteikumu projekta 15.2.1. apakšpunktā (iekšzemes komandējumi un dienesta braucieni – naktsmītnes un dienas nauda projekta personālam), 15.2.3. apakšpunktā (transporta izmaksas – degviela, sabiedriskais transports, transporta pakalpojumi projekta personālam), 15.2.9. apakšpunktā (veselības apdrošināšanas izmaksas, kas ietilpst personāla atlīdzības aprēķinā).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Pārējās izmaksu pozīcijas plānotas kā faktiskās izmaksas, jo tās tiek veiktas atbilstoši starptautisko konkursu  rīkotājorganizāciju un starptautisko dalībvalstu asociāciju nosacījumiem (15.2.4. un 15.2.6.5.apakšpunkts), izmaksas ir atkarīgas no starptautisko pasākumu norises vietām Eiropā un pasaulē (15.2.2. apakšpunkts), naktsmītnes (15.2.6.7.apakšpunkts) ir pakalpojums, kas tiek nodrošināts projekta mērķa grupai ikgadējo pasākumu ietvaros, un nav traktējams kā komandējums. Pakalpojuma sniedzēji (15.2.6.1.apakšpunkts) pārstāv dažādas Latvijas tautsaimniecības nozares, tiek nolīgti, īstenojot iepirkumu procedūras, un izmaksas tiek noteiktas atbilstoši konkrētā pakalpojuma/preces tirgus cenai, kas katrai nozarei ir dažāda, līdz ar to izmaksas ir specifiskas nozarei un nav unificējamas.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pakalpojuma sniedzēju veicamā darba saturs, ieguldītais darbs un laiks  būtiski atšķiras, jo pamatā tiek veikti praktiski darbi atbilstoši prasmju konkursam konkrētajā nozarē un tie nav novērtējami ar vienādu stundas likmi.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vērtēšana katrā prasmju konkursā ir atšķirīga, jo ir tādi prasmju konkursi, kur uzdevuma izpildes laikā katrs konkursants tiek vērtēts procesā (piemēram, restorānu serviss, viesu uzņemšana), bet ir arī tādi, kur jāvērtē atsevišķi darba izpildes posmi un pēc tam gala produkts (piemēram, mēbeļu izgatavošana, ēdienu gatavošana, tērpu izgatavošana). Savukārt, pakalpojuma sniedzēji, kas nodrošina prasmju konkursu darbnīcu funkcionēšanu, veic pēc darba satura pilnīgi atšķirīgus pienākumus  - atbilstoši prasmju konkursa nosacījumiem gatavo prasmju konkursa materiālus un nodrošina tehnisko atbalstu konkursantam (šķiro, sver, sadala, grupē, regulē iekārtas utt.).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būtiski, ka izmaksām, kuras nav plānotas kā vienkāršotās izmaksas, nav regulārs ikmēneša raksturs (izņemot projekta vadības un īstenošanas personāla atlīdzības). Pamatā tās ir vienreizējas kalendārā gada ietvaros (atsevišķos gadījumos atkarībā no līguma nosacījumiem var būt arī 2-3 maksājumi)  tiek veiktas noteiktā laika nogrieznī (konkrētos gada mēnešos) atbilstoši projekta darbību un pasākumu īstenošanas specifikai, tādējādi nerada būtisku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15.1. apakšpunktā noteiktās projekta īstenošanas personāla un vadības personāla atlīdzības izmaksas tiek plānotas kā tiešās faktiskās attiecināmās izmaksas, kurām piemēro netiešo izmaksu likmi 15%. Tā kā projekta ieviesējs tiek plānots tiešā valsts pārvaldes iestāde, kur personāla atlīdzības ietvaru, izmaksas nosacījumus un apmērus nosaka gan ārējais normatīvais regulējums (Valsts un pašvaldību institūciju amatpersonu un darbinieku atlīdzības likums, Likums “Par valsts sociālo apdrošināšanu”, Ministru kabineta 2022.gada 21.jūnija noteikumi Nr. 361 “Noteikumi par valsts institūciju amatpersonu un darbinieku darba samaksu un tās noteikšanas kārtību, kā arī par profesijām un specifiskajām jomām, kurām piemērojams tirgus koeficients”, Ministru kabineta 2022. gada 26. aprīlī noteikumi Nr. 262 “Valsts un pašvaldību institūciju amatu katalogs, amatu klasifikācijas un amatu apraksta izstrādāšanas kārtība” u.c.), gan iestādes iekšējie normatīvie akti, kas detalizēti apraksta nodarbināto mēnešalgas, piemaksu un citu ar atlīdzību saistīto maksājumu noteikšanas un izmaksāšanas principus, tad noteikumu projekta 15.1.apakšpunktā plānotās darbības ieviešanai netiek plānots piemērot izmaksu vienkāršošanas metodi. Turklāt ar 2022.gada jūliju ir uzsākta būtiska valsts pārvaldes atlīdzības sistēmas reforma, kuras ietekmi nav iespējams šobrīd metodiski novērtēt, jo ir īstenots tikai pirmais reformas posms un sistēmā vēl notiek pietiekami straujas izmaiņas, vienkāršoto izmaksu metodika personāla atlīdzībām, ja tāda šobrīd tiktu veidota, konkrētajam projektam būtu pietiekami bieži jāpārskata, tādējādi radot būtisku administratīvo slogu pret iecerēto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14.1.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kāpēc no MK noteikumu projekta dzēsts nosacījums par projekta vadības un īstenošanas personāla segšanu, izmantojot vienkāršoto izmaksu iespējas. Vēršam uzmanību, ka anotācijā (11.-12.lpp.) sniegtais skaidrojums nav pietiekams pamatojums vienkāršoto izmaksu nepiemērošanai, tāpēc lūdzam Izglītības un zinātnes ministriju kā atbildīgo iestādi nodrošināt, ka projekta personāla vadības un īstenošanas tiek segtas izmantojot vienkāršoto izmaksu piemērošanas iespējas, piemēram, izstrādājot vienas vienības izmaksu metodiku.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17.07.2023. sanāksmē ar FM pārrunātajam ir precizēta anotācija, noteikumu projekta 15.1.apakšpunkts un MK sēdes protokollēmuma redakcija, paredzot uzdevumu līdz 30.06.2025. IZM izstrādāt vienkāršoto izmaksu metodiku projekta vadības un īstenošanas personāla atlīdzības izmaksām. Līdz minētās metodikas izstrādei attiecīgās izmaksas attiecinot kā faktiskās izmaksas. Skatīt precizēto MK noteikumu projekta 15.1.apakšpunktu, MK sēdes protokollēmuma redakciju un papildināto anotāciju.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 kas līdz atbildīgās iestādes izstrādātās vienkāršoto izmaksu metodikas apstiprināšanai ir attiecināmas kā faktiskās izmaksas. Ja personāla iesaiste projektā ir nodrošināta saskaņā ar daļlaika attiecināmības principu, attiecināma ir ne mazāka kā 30 procentu noslodze;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 atbilstoši atbildīgās iestādes apstiprinātajai vienkāršoto izmaksu metodikai, kas saskaņota ar vadošo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šobrīd anotācijā nav sniegta skaidrojoša informācija par 4.2.2.9.pasākumā 2.kārtā plānotajām izmaksām, lūdzam anotācijā skaidrot, kāda veida vienkāršotās izmaksas tiks piemērotas projekta vadības un īstenošanas personālā atlīdzības izmaksām un kad tiek plānots izstrādāt un apstiprināt metodiku. Vienlaikus vēršam uzmanību uz to, ka, iztrūkstot skaidrojumam, šobrīd nav iespējams izvērtēt noteikumu projekta 15.2.7. un 15.2.8. apakšpunktā minēto izmaksu, kam ir paredzēta saistība ar projekta vadības un īstenošanas personāla procentuālo noslodzi projektā,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un vadības personāla atlīdzības izmaksām  ir plānots piemērot faktiskās attiecināmās izmaksas, kurām piemēro netiešo izmaksu likmi 15%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precizēto anotāciju par izmaksu metodēm un to piemērošanu un noteikumu projekta 15.1.apakšpunktu.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 kas līdz atbildīgās iestādes izstrādātās vienkāršoto izmaksu metodikas apstiprināšanai ir attiecināmas kā faktiskās izmaksas. Ja personāla iesaiste projektā ir nodrošināta saskaņā ar daļlaika attiecināmības principu, attiecināma ir ne mazāka kā 30 procentu noslodze;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 atbilstoši atbildīgās iestādes apstiprinātajai vienkāršoto izmaksu metodikai, kas saskaņota ar vadošo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vai noteikumu projekta 15.1.apakšpunktā norādītā vienkāršoto izmaksu metodika tiks apstiprināta līdz atlases izsludināšanai. Attiecīgi lūdzam norādīt, ka gadījumā, ja līdz atlases izsludināšanai vienkāršoto izmaksu metodika nebūs apstiprināta, projekta iesniegumu atlasē netiks veikta vadības personāla atlīdzības izmaksu apmēra pamatotības analīze.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un vadības personāla atlīdzības izmaksām  ir plānots piemērot faktiskās attiecināmās izmaksas, kurām piemēro netiešo izmaksu likmi 15%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precizēto anotāciju par izmaksu metodēm un to piemērošanu un noteikumu projekta 15.1.apakšpunktu.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 kas līdz atbildīgās iestādes izstrādātās vienkāršoto izmaksu metodikas apstiprināšanai ir attiecināmas kā faktiskās izmaksas. Ja personāla iesaiste projektā ir nodrošināta saskaņā ar daļlaika attiecināmības principu, attiecināma ir ne mazāka kā 30 procentu noslodze;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iekšzemes komandējumu un dienesta braucienu izmaksas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attiecināmas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15.2.1.apakšpunktā norādīt vai  iekšzemes komandējumu  un dienesta braucienu izmaksas ir attiecināmas uz projekta vadības un/vai īstenošanas personālu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noteikumu projekta 15.2.1.apakšpunktu.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iekšzemes komandējumu un dienesta braucienu izmaksas finansējuma saņēmēja projekta īstenošanas personālam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piesaistītājiem ekspertiem un konkursantiem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minētās atbalstāmās darbības īstenošanai, attiecināmas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15.2.2. ārvalstu komandējumu izmaksas finansējuma saņēmēja projekta īstenošanas un vadības personālam (tai skaitā Latvijas oficiālajam delegātam un tehniskajam delegātam starptautiskajās dalībvalstu asociācijās "</w:t>
            </w:r>
            <w:r w:rsidR="00000000" w:rsidRPr="00000000" w:rsidDel="00000000">
              <w:rPr>
                <w:i w:val="1"/>
                <w:rtl w:val="0"/>
              </w:rPr>
              <w:t xml:space="preserve">Worldskills Europe</w:t>
            </w:r>
            <w:r w:rsidR="00000000" w:rsidRPr="00000000" w:rsidDel="00000000">
              <w:rPr>
                <w:rtl w:val="0"/>
              </w:rPr>
              <w:t xml:space="preserve">" un "</w:t>
            </w:r>
            <w:r w:rsidR="00000000" w:rsidRPr="00000000" w:rsidDel="00000000">
              <w:rPr>
                <w:i w:val="1"/>
                <w:rtl w:val="0"/>
              </w:rPr>
              <w:t xml:space="preserve">Worldskills International</w:t>
            </w:r>
            <w:r w:rsidR="00000000" w:rsidRPr="00000000" w:rsidDel="00000000">
              <w:rPr>
                <w:rtl w:val="0"/>
              </w:rPr>
              <w:t xml:space="preserve">"), piesaistītajiem ekspertiem un konkursantiem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minēto atbalstāmo darbību īstenošanai atbilstoši normatīvajiem aktiem par kārtību, kādā atlīdzināmi ar komandējumiem saistītie izdevumi;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Finanšu ministrijas Vadlīniju Nr.1.2. "Vadlīnijas attiecināmo izmaksu noteikšanai Eiropas Savienības kohēzijas politikas programmas 2021.-2027.gada plānošanas periodā" 62.atsauci, ārvalstu komandējumu izmaksas attiecināmas tikai projekta īstenošanas personālam un projekta vadītājam. Līdz ar to lūdzam attiecīgi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15.2.2. ārvalstu komandējumu izmaksas projekta vadītājam, finansējuma saņēmēja projekta īstenošanas personālam (tai skaitā Latvijas oficiālajam delegātam un tehniskajam delegātam starptautiskajās dalībvalstu asociācijās "</w:t>
            </w:r>
            <w:r w:rsidR="00000000" w:rsidRPr="00000000" w:rsidDel="00000000">
              <w:rPr>
                <w:i w:val="1"/>
                <w:rtl w:val="0"/>
              </w:rPr>
              <w:t xml:space="preserve">Worldskills Europe</w:t>
            </w:r>
            <w:r w:rsidR="00000000" w:rsidRPr="00000000" w:rsidDel="00000000">
              <w:rPr>
                <w:rtl w:val="0"/>
              </w:rPr>
              <w:t xml:space="preserve">" un "</w:t>
            </w:r>
            <w:r w:rsidR="00000000" w:rsidRPr="00000000" w:rsidDel="00000000">
              <w:rPr>
                <w:i w:val="1"/>
                <w:rtl w:val="0"/>
              </w:rPr>
              <w:t xml:space="preserve">Worldskills International</w:t>
            </w:r>
            <w:r w:rsidR="00000000" w:rsidRPr="00000000" w:rsidDel="00000000">
              <w:rPr>
                <w:rtl w:val="0"/>
              </w:rPr>
              <w:t xml:space="preserve">"), piesaistītajiem ekspertiem un konkursantiem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minēto atbalstāmo darbību īstenošanai atbilstoši normatīvajiem aktiem par kārtību, kādā atlīdzināmi ar komandējumiem saistītie izdevumi;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transportlīdzekļu noma, transporta pakalpojumu pirkšana, maksa par sabiedriskā transporta izmantošanu)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 (ja attiecināma vienas vienības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transporta izmaksām ir piemērojama vadošās iestādes izstrādātā metodika "Vienas vienības izmaksu standarta likmes aprēķina un piemērošanas metodika 1 km izmaksām darbības programmas “Izaugsme un nodarbinātība” un Eiropas Savienības kohēzijas politikas programmas 2021.–2027.gadam  īstenošanai" un vienlaikus ar vienkāršotām izmaksām nav attiecināmas faktiskās izmaksas, lūdzam svītrot tekstu "(ja attiecināma vienas vienības metodika)".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15.2.3. un 15.2.4.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transporta pakalpojumu pirkšana, maksa par sabiedriskā transporta izmantošanu) finansējuma saņēmēja projekta īstenošanas un vadības personālam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transportlīdzekļu noma, transporta pakalpojumu pirkšana, maksa par sabiedriskā transporta izmantošanu)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 (ja attiecināma vienas vienības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15.2.3.apakšpunktā norādīt vai  trasporta izmaksas ir attiecināmas uz projekta vadības un/vai īstenošanas personālu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transporta pakalpojumu pirkšana, maksa par sabiedriskā transporta izmantošanu) finansējuma saņēmēja projekta īstenošanas un vadības personālam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transportlīdzekļu noma, transporta pakalpojumu pirkšana, maksa par sabiedriskā transporta izmantošanu)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 (ja attiecināma vienas vienības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15.2.3.apakšpuntā  skaidrot transportlīdzekļu nomas izmaksu iekļaušanu, ņemot vērā  "Vienas vienības izmaksu standarta likmes aprēķina un piemērošanas metodika 1 km izmaksām darbības programmas “Izaugsme un nodarbinātība” un Eiropas Savienības kohēzijas politikas programmas 2021.–2027.gadam  īstenošanai" šādu pozīciju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transportlīdzekļu nomu nav attiecināma  vadošās iestādes izstrādātā metodika "Vienas vienības izmaksu standarta likmes aprēķina un piemērošanas metodika 1 km izmaksām darbības programmas “Izaugsme un nodarbinātība” un Eiropas Savienības kohēzijas politikas programmas 2021.–2027.gadam  īstenošanai", 15.2.3. apakšpunktā tika iekļauta piebilde -  “(ja attiecināma vienas vienības metodika)”. Skatīt precizēto 15.2.3.apakšpunktu un no jauna izveidotā 15.2.4.apkšpunkta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transporta pakalpojumu pirkšana, maksa par sabiedriskā transporta izmantošanu) finansējuma saņēmēja projekta īstenošanas un vadības personālam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15.2.7. jaunradītu darba vietu aprīkojuma, tai skaitā biroja mēbeļu un tehnikas, datorprogrammu un licences iegādes vai nomas izmaksas, aprīkojuma uzturēšanas un remonta izmaksas, ne vairāk kā 3 000 </w:t>
            </w:r>
            <w:r w:rsidR="00000000" w:rsidRPr="00000000" w:rsidDel="00000000">
              <w:rPr>
                <w:i w:val="1"/>
                <w:rtl w:val="0"/>
              </w:rPr>
              <w:t xml:space="preserve">euro</w:t>
            </w:r>
            <w:r w:rsidR="00000000" w:rsidRPr="00000000" w:rsidDel="00000000">
              <w:rPr>
                <w:rtl w:val="0"/>
              </w:rPr>
              <w:t xml:space="preserve"> vienai darba vietai visā projekta īstenošanas laikā, ja projekta vadības vai īstenošanas personāls ir nodarbināts projektā vismaz 30 procentu apmērā no normālā darba laika uz darba līguma pamata. Ja projekta vadības vai īstenošanas personāls ir nodarbināts nepilnu darba laiku vai daļlaiku, jaunradītas darba vietas aprīkojuma iegādes vai nomas izmaksas ir attiecināmas proporcionāli darba slodzes procentuālajam sadalījumam;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Finanšu ministrijas Vadlīniju Nr. 1.2. "Vadlīnijas attiecināmo izmaksu noteikšanai Eiropas Savienības kohēzijas politikas programmas 2021.-2027.gada plānošanas periodā" 33.punktam, daļlaika izmaksu attiecināšanas principa gadījumā jāņem vērā darbinieka iesaistes periods projektā pret projekta kopējo īstenošanas ilgumu un daļlaika proporcija darbam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Ministru kabineta noteikumu attiecīgo apakšpunktu, kā arī vienlaikus lūdzam anotāciju papildināt ar skaidrojumu, ka tiks vērtēts aprīkojuma iegādes samērīgums attiecībā uz darbiniekiem, kuriem tiek piemērots daļlaika noslodzes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15.2.8.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w:t>
            </w:r>
            <w:r w:rsidR="00000000" w:rsidRPr="00000000" w:rsidDel="00000000">
              <w:rPr>
                <w:i w:val="1"/>
                <w:rtl w:val="0"/>
              </w:rPr>
              <w:t xml:space="preserve">euro</w:t>
            </w:r>
            <w:r w:rsidR="00000000" w:rsidRPr="00000000" w:rsidDel="00000000">
              <w:rPr>
                <w:rtl w:val="0"/>
              </w:rPr>
              <w:t xml:space="preserve"> vienai darba vietai visā projekta īstenošanas laikā, ja finansējuma saņēmēja projekta vadības vai īstenošanas personāls ir nodarbināts projektā uz darba līguma pamata. Ja personāls ir nodarbināts normālu darba laiku, darba vietas aprīkojuma iegādes vai nomas izmaksas ir attiecināmas 100 procentu apmērā. Ja personāls ir nodarbināts nepilnu darba laiku,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15.2.8.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w:t>
            </w:r>
            <w:r w:rsidR="00000000" w:rsidRPr="00000000" w:rsidDel="00000000">
              <w:rPr>
                <w:i w:val="1"/>
                <w:rtl w:val="0"/>
              </w:rPr>
              <w:t xml:space="preserve">euro</w:t>
            </w:r>
            <w:r w:rsidR="00000000" w:rsidRPr="00000000" w:rsidDel="00000000">
              <w:rPr>
                <w:rtl w:val="0"/>
              </w:rPr>
              <w:t xml:space="preserve"> vienai darba vietai visā projekta īstenošanas laikā, ja finansējuma saņēmēja projekta vadības vai īstenošanas personāls ir nodarbināts projektā uz darba līguma pamata. Ja personāls ir nodarbināts normālu darba laiku, darba vietas aprīkojuma iegādes vai nomas izmaksas ir attiecināmas 100 procentu apmērā. Ja personāls ir nodarbināts nepilnu darba laiku vai saskaņā ar daļlaika attiecināmības principu, darba vietas aprīkojuma iegādes vai nomas izmaksas ir attiecināmas proporcionāli darba slodzes procentuālajam sadalījumam;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iepriekš Finanšu ministrijas atzinumā tika sniegts iebildums attiecībā uz personālu, kas nodarbināts projektā saskaņā ar daļlaika attiecināmības principu. Izziņā sniegta informācija, ka tas ņemts vērā, taču pēc būtības, izskatot veiktos precizējumus, Finanšu ministrija secināja, ka iepriekš minētais iebildums ir daļēji ņemts vērā. Līdz ar to atkārtoti lūdzam precizēt MK noteikumu attiecīgo apakšpunktu, ka daļlaika izmaksu attiecināšanas principa gadījumā jāņem vērā darbinieka iesaistes periods projektā pret projekta kopējo īstenošanas ilgumu.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15.2.8.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euro vienai darba vietai visā projekta īstenošanas laikā, ja finansējuma saņēmēja projekta vadības vai īstenošanas personāls ir nodarbināts projektā uz darba līguma pamata. Ja personāls ir nodarbināts normālu darba laiku, darba vietas aprīkojuma iegādes vai nomas izmaksas ir attiecināmas 100 procentu apmērā. Ja personāls ir nodarbināts nepilnu darba laiku,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15.2.8.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15.2.8.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w:t>
            </w:r>
            <w:r w:rsidR="00000000" w:rsidRPr="00000000" w:rsidDel="00000000">
              <w:rPr>
                <w:i w:val="1"/>
                <w:rtl w:val="0"/>
              </w:rPr>
              <w:t xml:space="preserve">euro</w:t>
            </w:r>
            <w:r w:rsidR="00000000" w:rsidRPr="00000000" w:rsidDel="00000000">
              <w:rPr>
                <w:rtl w:val="0"/>
              </w:rPr>
              <w:t xml:space="preserve"> vienai darba vietai visā projekta īstenošanas laikā, ja finansējuma saņēmēja projekta vadības vai īstenošanas personāls ir nodarbināts projektā uz darba līguma pamata. Ja personāls ir nodarbināts normālu darba laiku, darba vietas aprīkojuma iegādes vai nomas izmaksas ir attiecināmas 100 procentu apmērā. Ja personāls ir nodarbināts nepilnu darba laiku,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vadošā iestāde ir izstrādājusi vienkāršoto izmaksu metodiku kādām no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minētajām izmaksām, tām piemēro vadošās iestādes izstrādāto metodiku.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precizēt, ka 16.punktā minētais attiecināms uz gadījumiem, kad vienkāršoto izmaksu metodika tiek izstrādāta projekta īstenošanas laikā. Papildus lūdzam ietvert arī atsauci uz atbildīgo iestādi.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īstenošanas laikā atbildīgā iestāde vai vadošā iestāde ir izstrādājusi vienkāršoto izmaksu metodiku kādām no šo noteikumu 15. punktā minētajām izmaksām, tām piemēro atbildīgās iestādes vai vadošās iestādes izstrādāto metodiku.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16.punkta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projekta īstenošanas laikā atbildīgā iestāde vai vadošā iestāde ir izstrādājusi vienkāršoto izmaksu metodiku kādām no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minētajām izmaksām, tām piemēro atbildīgās iestādes vai vadošās iestādes izstrādāto metodiku.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Pievienotās vērtības nodoklis uzskatāms par attiecināmām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iepriekšējā Finanšu ministrijas atzinumā sniegto komentāru attiecībā uz gadījumiem, ja tiek izmantots vienkāršots PVN līdzekļu attiecināšanas princips projektiem, kuru kopējās izmaksas ir mazākas par 5 milj. EUR (ieskaitot PVN), lūdzam anotācijā sniegt informāciju, ka tiks nodrošināts dubultā finansējuma novēršanas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19.punktu izteikt kā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nodoklis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 64.panta 1.punkta c)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papildināto anotāciju un precizēto noteikumu projekta 19.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Pievienotās vērtības nodoklis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64.panta 1.punkta c) apakšpunktu.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Pasākuma otrās kārtas ietvaros finansējuma saņēmējam izmaksas ir attiecināmas no 2023. gada 2. janvāra, ja tās atbilst šajos noteikumos minētajām izmaksu pozīcijām.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noteikumu projektā noteikts, ka projektu izmaksas ir attiecināms pirms vienošanās noslēgšanas, t.i., no 2023.gada 2.janvāra, lūdzam papildināt anotāciju ar informāciju par atbildīgās iestādes pienākumiem un atbildību gadījumos, ja pirms projekta apstiprināšanas radušās izmaksas, kas nav attiecināmas no ES fondu līdzekļiem, kā arī lūdzam papildināt ar nosacījumu, ka nav attiecināmas jau pabeigtas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MK sēdes protokollēmuma redakciju un precizēto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Pasākuma otrās kārtas ietvaros finansējuma saņēmējam izmaksas ir attiecināmas no 2023. gada 2. janvāra, ja tās atbilst šajos noteikumos minētajām izmaksu pozīcijām.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otrās kārtas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noteikumu projektu ar nosacījumu, ka finansējuma saņēmējs nodrošina nepārklāšanās principus ar citiem valsts un ārvalstu finanšu atbalsta instrumentiem un dubultā finansējuma neiestāšanos.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27.punktu.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otrās kārtas īstenošanas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otrās kārtas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papildināt noteikumu projekta IV sadaļu ar normu, kas paredz, ka finansējuma saņēmējs projekta īstenošanas laikā nodrošina interešu konflikta neesamību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paraksta interešu konflikta neesamības apliecinājumu.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31.punktu.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otrās kārtas īstenošanas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īstenošanas uzraudzību veic Profesionālās izglītības un nodarbinātības trīspusējās sadarbības apakšpadome (turpmāk – Padome). Padomes sēdes projekta uzraudzības jautājumos tiek sasauktas pēc nepieciešamības, bet ne retāk kā divas reizes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skaidri norādīt, kas izveido Profesionālās izglītības un nodarbinātības trīspusējās sadarbības apakšpadomi. Papildus lūdzu skaidrot uz kāda tiesiskā pamata minētā apakšpadome veic projekta uzraudzību. Vēršam uzmanību, ka institūcijas kurām ir noteikta uzraudzības funkcija ir noteikta Eiropas Savienības fondu 2021-2027.gada plānošanas perioda vadības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Profesionālās izglītības un nodarbinātības trīspusējās sadarbības apakšpadome (turpmāk –  apakšpadome) ir izveidota, lai sekmētu valdības, darba devēju un darbinieku (arodbiedrību) organizāciju sadarbību cilvēkresursu attīstības, izglītības un nodarbinātības valsts politikas un stratēģijas izstrādes un īstenošanas jomā. Apakšpadome darbojas atbilstoši Nacionālās trīspusējās sadarbības padomes 2016. gada 21.aprīļa sēdē (sēdes protokols Nr.1  2.punkts) apstiprinātam nolikumam "Profesionālās izglītības un nodarbinātības trīspusējās sadarbības apakšpadomes nolikums" (https://www.mk.gov.lv/lv/nacionalas-trispusejas-sadarbibas-padomes-2021-gada-27-aprila-sedes-darba-kartiba), kur noteikti Padomes uzdevumi un tiesības, un ir Nacionālās trīspusējās sadarbības padomes (https://likumi.lv/ta/id/50778-nacionalas-trispusejas-sadarbibas-padomes-nolikums) institucionālās sistēmas sastāvdaļa.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Plānots, ka Padomes sēdēs, kad tiek izskatīti ar projekta īstenošanas uzraudzību saistītie jautājumi, eksperta statusā uzaicina piedalīties atbildīgās iestādes un sadarbības iestādes pārstāvjus.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īstenošanas uzraudzību veic Profesionālās izglītības un nodarbinātības trīspusējās sadarbības apakšpadome (turpmāk – Padome). Padomes sēdes projekta uzraudzības jautājumos tiek sasauktas pēc nepieciešamības, bet ne retāk kā divas reizes gadā: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Padomes sēdēs, kad tiek izskatīti ar projekta īstenošanas uzraudzību saistītie jautājumi, eksperta statusā uzaicina piedalīties atbildīgās iestādes, vadošās iestādes un sadarbības iestādes pārstāvjus.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vadošās iestādes pārstāvju dalību padomē. Vēršam uzmanību, ka vadošās iestādes pienākumos netilps projektu uzraudzības funkcija.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Padomes sēdēs, kad tiek izskatīti ar projekta īstenošanas uzraudzību saistītie jautājumi, eksperta statusā uzaicina piedalīties atbildīgās iestādes un sadarbības iestādes pārstāvjus.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īstenošanas uzraudzību, ne retāk kā divas reizes gadā, veic Profesionālās izglītības un nodarbinātības trīspusējās sadarbības apakšpadome (turpmāk – Padome). Padomes darbību nosaka tās nolikums. Padomes sēdēs, kad tiek izskatīti ar projekta īstenošanas uzraudzību saistītie jautājumi, uzaicina piedalīties  vadošās iestādes,  sadarbības iestādes un atbildīgās iestādes pārstāvjus.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noteikumu projekta 24.punktā uz kādā pamata tiks aicināti iestāžu pārstāvji un kādā statusā.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23.punkta redakcija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īstenošanas uzraudzību veic Profesionālās izglītības un nodarbinātības trīspusējās sadarbības apakšpadome (turpmāk – Padome). Padomes sēdes projekta uzraudzības jautājumos tiek sasauktas pēc nepieciešamības, bet ne retāk kā divas reizes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23.1.Padome projekta īstenošanas uzraudzībā veic šādus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 izskata projekta īstenotāja iesniegtos pārskatus par projekta īstenošanas gaitu, tai skaitā sasniegto rezultātu progresu, saturisko kvalitāti un ilgtspēju, kā arī atbilstību projekta mērķim un sniedz ieteikumus projekta īstenotājam;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 analizē projekta īstenošanas problēmas, apdraudējumus un riskus un sniedz projekta īstenotājam priekšlikumus projekta īstenošanas pilnveidei, lai sekmētu projekta efektīvu un kvalitatīvu rezultātu sasniegšanu atbilstoši projekta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Padomei, veicot projekta īstenošanas uzraudzību,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23.2.1. uzaicināt piedalīties Padomes sēdēs ar padomdevēju tiesībām valsts, pašvaldību, nevalstisko organizāciju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23.2.2. projekta īstenošanas uzraudzības aktuālos jautājumos sadarboties ar ekspertiem, ministrijām, to padotībā esošajām iestādēm un citām valsts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23.2.3. lūgt projekta īstenošanas uzraudzībai aktuālo informāciju no valsts un pašvaldību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23.2.4. sniegt priekšlikumus Izglītības un zinātnes ministrijai un projekta īstenotājam projekta īstenošanas pilnveidei;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Padomes sēdēs, kad tiek izskatīti ar projekta īstenošanas uzraudzību saistītie jautājumi, eksperta statusā uzaicina piedalīties atbildīgās iestādes, vadošās iestādes un sadarbības iestādes pārstāvjus.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īstenošanas uzraudzību veic Profesionālās izglītības un nodarbinātības trīspusējās sadarbības apakšpadome (turpmāk – Padome). Padomes sēdes projekta uzraudzības jautājumos tiek sasauktas pēc nepieciešamības, bet ne retāk kā divas reizes gadā: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īstenošanas uzraudzību, ne retāk kā divas reizes gadā, veic Profesionālās izglītības un nodarbinātības trīspusējās sadarbības apakšpadome (turpmāk – Padome). Padomes darbību nosaka tās nolikums. Padomes sēdēs, kad tiek izskatīti ar projekta īstenošanas uzraudzību saistītie jautājumi, uzaicina piedalīties  vadošās iestādes,  sadarbības iestādes un atbildīgās iestādes pārstāvjus.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izveido Profesionālās izglītības un nodarbinātības trīspusējās sadarbības apakšpadomi. Ar attiecīgo informāciju lūdzam papildināt noteikumu projektu vai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Profesionālās izglītības un nodarbinātības trīspusējās sadarbības apakšpadome (turpmāk –  apakšpadome) ir izveidota, lai sekmētu valdības, darba devēju un darbinieku (arodbiedrību) organizāciju (turpmāk – dalībpuses) sadarbību cilvēkresursu attīstības, izglītības un nodarbinātības valsts politikas un stratēģijas izstrādes un īstenošanas jomā. Apakšpadome  darbojas atbilstoši nolikumam (https://www.mk.gov.lv/lv/media/6761/download), un ir Nacionālās trīspusējās sadarbības padomes institucionālās sistēmas sastāvdaļa.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īstenošanas uzraudzību veic Profesionālās izglītības un nodarbinātības trīspusējās sadarbības apakšpadome (turpmāk – Padome). Padomes sēdes projekta uzraudzības jautājumos tiek sasauktas pēc nepieciešamības, bet ne retāk kā divas reizes gadā: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Lai veicinātu horizontālā principa "Vienlīdzīgas iespējas" ieviešanu projektā,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noteiktajās atbalstāmajās darbībās tiks nodrošināta vienlīdzīgu iespēju piemērošana, nodrošinot projektā plānoto pakalpojumu pieejamību dažādām personām vai personu grupām (piemēram, neatkarīgi no dzimuma, vecuma, funkcionāliem traucējumiem vai etniskās piederības).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vadlīnijām horizontālā principa “Vienlīdzība, iekļaušana, nediskriminācija un pamattiesību ievērošana” īstenošanai un uzraudzībai (2021-2027) [1], 4.2.2.9. pasākums ir ar netiešu ietekmi uz horizontālo principu, tādēļ, atbilstoši HP vadlīnijām pasākumam  ir jāparedz vismaz 1 HP rādītājs. Lūdzam svītrot 28.punkta redakciju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Vadlīnijas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īsteno horizontālā principa "Vienlīdzība, iekļaušana, nediskriminācija un pamattiesību ievērošana" vispārīgas un specifiskas darbības un uzkrāj datus par horizontālā principa šādu rādītāju: mediju kampaņu, semināru, konferenču  un komunikācijas pasākumu skaits, kuros  sabiedrības informēšanai tika nodrošināti cilvēkiem ar dažāda veida funkcionāliem traucējumiem piekļūstami formāti ( piem., tulkošana zīmju valodā, subtitrēšana, reāllaika transkripcija, raidījumu un pasākumu ieraksti.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noteikumu projekta 28.punktu un 29.4.apakšpunktu.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Lai veicinātu horizontālā principa "Vienlīdzība, iekļaušana, nediskriminācija un pamattiesību ievērošana" ieviešanu, projektā  plāno vispārīgas un specifiskas darbības, kas veicina vienlīdzību, iekļaušanu, nediskrimināciju un pamattiesību ievērošanu.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nacionālo un starptautisko jauno profesionāļu meistarības konkursu ietvaros atbalstu saņēmušo konkursantu skaitu, dzimumu, vecumu, profesionālās izglītības iestādi un profesionālo kvalifikāciju. Datus par konkursantiem uzkrāj un apstrādā atbilstoši Eiropas Parlamenta un Padomes 2021. gada 24. jūnija Regulas (ES)  Nr. 2021/1057, ar  ko izveido Eiropas Sociālo fondu Plus (ESF+) un atceļ Regulu (ES) Nr. 1296/2013, I un II pielikumam;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noteikumu projekta 29.2.apakšpunktu ar atsauci uz Ministru kabineta 2023.gada 21.marta noteikumiem Nr.135 "Eiropas Savienības fondu projektu pārbaužu veikšanas kārtība 2021.–2027. gada plānošanas periodā" un to 1.pielikumu.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noteikumu projekta 29.2.apakšpunktu un papildināto anotācijas 1.3.sadaļu.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nacionālo un starptautisko jauno profesionāļu meistarības konkursu ietvaros atbalstu saņēmušo konkursantu skaitu, dzimumu, vecumu, profesionālās izglītības iestādi un profesionālo kvalifikāciju;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nacionālo un starptautisko jauno profesionāļu meistarības konkursu ietvaros atbalstu saņēmušo personu skaitu, dzimumu, vecumu, profesionālās izglītības iestādi un profesionālo kvalifikāciju;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29.2.apakšpunktā minēto, lūdzam skaidrot, vai personas dati tiks uzkrāti atbilstoši Eiropas Parlamenta un Padomes 2021. gada 24. jūnija Regulas (ES)  Nr. 2021/1057, ar  ko izveido Eiropas Sociālo fondu Plus (ESF+) un atceļ Regulu (ES) Nr. 1296/2013, I un II pielikumam. Gadījumā, ja dati tiek uzkrāti, lai izpildītu minētās regulas prasības, lūdzam papildināt noteikumus ar apstrādes mērķi, ietverot atsauci uz minēto regulu un Ministru kabineta 2023.gada 21.marta noteikumiem Nr.135 "Eiropas Savienības fondu projektu pārbaužu veikšanas kārtība 2021.–2027. gada plānošanas periodā" un to 1.pielikumu.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papildināto anotāciju un noteikumu projekta 29.2.apakšpunktu.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nacionālo un starptautisko jauno profesionāļu meistarības konkursu ietvaros atbalstu saņēmušo konkursantu skaitu, dzimumu, vecumu, profesionālās izglītības iestādi un profesionālo kvalifikāciju;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informāciju, turpinām uzturēt iebildumu par vienkāršoto izmaksu piemērošanu, proti, aicinām pasākuma īstenošanai piemērot vienoto likmi 40 % apmērā pārējo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(11.-12.lpp.) sniegtais skaidrojums nav pietiekams pamatojums vienkāršoto izmaksu nepiemērošanai personāla izmaksām, tāpēc lūdzam Izglītības un zinātnes ministriju kā atbildīgo iestādi nodrošināt, ka projekta personāla vadības un īstenošanas tiek segtas izmantojot vienkāršoto izmaksu piemērošanas iespējas, piemēram, izstrādājot vienas vienības izmaksu metodiku. Lūgums anotācijā dzēst informāciju, kas nav saistīta ar vienkāršoto izmaksu metodikas izstrādes un piemērošanas iespējām, piemēram atlīdzības reforma vai projekta ieviesēja juridiskais statuss nav pamatots arguments, lai apgalvotu, ka vienkāršoto izmaksu metodikas izstrāde palielinātu administratīvo slogu un nebūtu samērīga. Valstī noteiktā horizontālā atlīdzības politika valsts un pašvaldību institūcijās var kalpot par pamatu, lai izstrādātu metodiku personāla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17.07.2023. sanāksmē ar FM pārrunātajam ir precizēta anotācija, noteikumu projekta 15.1.apakšpunkts un MK sēdes protokollēmuma redakcija, paredzot uzdevumu līdz 30.06.2025. IZM izstrādāt vienkāršoto izmaksu metodiku projekta vadības un īstenošanas personāla atlīdzības izmaksām. Līdz minētās metodikas izstrādei attiecīgās izmaksas attiecinot kā faktiskās izmaksas. Skatīt precizēto MK noteikumu projekta 15.1.apakšpunktu, MK sēdes protokollēmuma redakciju un papildināto anotāciju.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anotācijas 1.3.apakšsadaļu ar informāciju par fizisko personu datu uzkrāšanas mērķi un norādīt, kādi tieši fizisko personu dati tiks uzkrāti, ņemot vērā noteikumu projektā 29.punktā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projektā tiks uzkrāti  dati par izglītojamo (konkursu dalībnieku) vecumu, dzimumu, profesionālās izglītības iestādi un profesionālo kvalifikāciju. Pamatojoties uz uzkrātajiem un apkopotajiem datiem, tiks analizēta profesionālās izglītības iestāžu pārstāvniecība nacionālajos un starptautiskajos konkursos, kvalitātes veikums darbā ar talantīgajiem izglītojamajiem un profesionālās izglītības pievilcība sabiedrībā, tiks veidota projekta statistika  un  gatavoti izvērtējumi un pārskati sabiedrības un profesionālo organizāciju informēšanai par nacionālajiem un starptautiskajiem konkursiem, kā arī datus pēc nepieciešamības apkopotā veidā  izmantojot nozares politikas plānošanas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noteikumu projekta 29.2.apakšpunktu un precizēto anotācijas 1.3.sadaļu.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kārtību, kādā finansējuma saņēmējs ziņo par noteikumu projekta 5.punktā norādītajiem nacionālajiem rādītājiem Kohēzijas politikas fondu vadības informācijas sistēmā (turpmāk- KPVIS) (skat. piedāvāto redakciju). Ja informāciju par nacionālajiem rādītājiem nav paredzēts uzkrāt KPVIS rādītāju sadaļā, lūgums to definēt kā papildus uzkrājamos datus/ informāciju nevis kā nacionālos rādītājus.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Nacionālos rādītājus finansējuma saņēmējs ievada Kohēzijas politikas fondu vadības informācijas sistēmā, iesniedzot maksājuma pieprasījumu.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detalizēti skaidrot 4.2.2.9.pasākuma 2.kārtas plānotās izmaksas un to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papildināto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1.3.sadaļā ietverto informāciju, lūdzu skaidrot uz kāda pamata finansējuma saņēmējs informēs Profesionālās izglītības un nodarbinātības trīspusējās sadarbības apakšpadomi par projekta īstenošanas progresu. Vēršam uzmanību, ka minētais pienākums nav noteikts ES fondus regulējošos normatīvos aktos, kā arī vienošanos par projekta īstenošanu finansējuma saņēmējs ir noslēdzis ar sadarbības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Profesionālās izglītības un nodarbinātības trīspusējās sadarbības apakšpadome (turpmāk –  apakšpadome) ir izveidota, lai sekmētu valdības, darba devēju un darbinieku (arodbiedrību) organizāciju sadarbību cilvēkresursu attīstības, izglītības un nodarbinātības valsts politikas un stratēģijas izstrādes un īstenošanas jomā. Apakšpadome  darbojas atbilstoši nolikumam (https://www.mk.gov.lv/lv/media/6761/download), un ir Nacionālās trīspusējās sadarbības padomes institucionālās sistēmas sastāvdaļa. Viens no padomes nolikumā noteiktajiem uzdevumiem paredz, ka apakšpadome izvērtē priekšlikumus un sniedz ieteikumus valsts un citām institūcijām, kas saistītas ar cilvēkresursu attīstību, izglītību un nodarbinātību par sadarbības līgumiem un projektiem ar Eiropas Savienības un citu valstu institūcijām cilvēkresursu attīstības, izglītības un nodarbinātības jomā. Tai skaitā, ņemot vērā padomes sastāvu un pārstāvētās institūcijas, nebūtu lietderīgi veidot vēl atsevišķu uzraudzības padomi.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eksperta statusā var tikt pieaicināti arī atbildīgās iestādes, vadošās iestādes un sadarbības iestādes pārstāvji, lai informētu par projekta ieviešanas gaitu, iespējamiem riskiem vai citos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skatīt precizēto noteikumu projekta 23.punkta redakciju un papildināto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1.3.apakšsadaļu ar informāciju par fizisko personu datu aizsardzības pasākumu ievērošanu, ņemot vērā noteikumu projektā 29.punktā minēto - "Īstenojot projektu, finansējuma saņēmējs uzkrāj datus par: nacionālo un starptautisko jauno profesionāļu meistarības konkursu ietvaros atbalstu saņēmušo personu skaitu, dzimumu, vecumu, profesionālās izglītības iestādi un profesionālo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personu datu apstrādi ir iekļauta anotācijas  8.1.13.apakšsadaļā. Skatīt precizēto noteikumu projekta 29.2.apakšpunktu.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informāciju par Valsts izglītības attīstības aģentūru (VIAA), ņemot vērā, ka VIAA izvēlēts kā projekta iesniedzējs un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papildināto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HP darbību aprakstu, kas veicina personu ar invaliditāti vienlīdzīgas iespējas, atbilstoši vadlīnijām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aicinām pievērst uzmanību tam, ka, nodrošinot projekta vadību un īstenošanu, informatīvus un izglītojošus pasākumus, ir jānodrošina piekļūstamība cilvēkiem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pasākuma ietvaros tiks īstenotas HP darbības, kas veicina personu ar invaliditāti vienlīdzīgas iespējas un tiesības: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vispārīgas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vadībā un īstenošanā tiks ievēroti tādi personāla atlases nosacījumi un prakses, kas ir nediskriminējošas un iekļaujošas cilvēkiem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aktivitātes, tiks izvēlēta valoda un vizuālie tēli, kas mazina diskrimināciju un stereotipu veidošanos par kādu no dzimumiem, personām ar invaliditāti, reliģisko pārliecību, vecumu, rasi un etnisko izcelsmi vai seksuālo orientāciju  (skat. LM metodisko materiālu “Ieteikumi diskrimināciju un stereotipus mazinošai komunikācijai ar sabiedrību”, (pieejams šeit: https://www.lm.gov.lv/lv/metodiskie-materiali; https://www.lm.gov.lv/lv/media/18838/download).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 un īstenošana notiks personām ar funkcionāliem traucējumiem pielāgotās telpās, tostarp pielāgotas informācijas un komunikāciju tehnoloģijas,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specifiskā darbība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mediju kampaņu un  komunikācijas pasākumu īstenošanā sabiedrības informēšanai tiks nodrošināti cilvēkiem ar dažāda veida funkcionāliem traucējumiem piekļūstami formāti (piem., tulkošana zīmju valodā, subtitrēšana, reāllaika transkripcija, raidījumu un pasākumu ierakstīšana);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nodrošināts, ka pasākuma norises vietai ir iespēja fiziski piekļūt un to izmantot apmeklētājiem ar dažādiem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papildināto anotācijas 8.sadaļu un noteikumu projekta 28.punktu un 29.4.apakšpunktu.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vispārīgo un specifisko darbību aprakstu, kas veicina dzimumu līdztiesību, atbilstoši vadlīnijām horizontālā principa “Vienlīdzība, iekļaušana, nediskriminācija un pamattiesību ievērošana” īstenošanai un uzraudzībai (2021-2027).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pasākuma ietvaros tiks īstenotas HP darbības, kas veicina dzimumu līdztiesību: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vispārīgas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(projekta vadības un īstenošanas personālam) tiks nodrošinātas vienlīdzīgas iespējas, tostarp nodrošinot dalību mācību pasākumos, semināros, darba grupās,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aktivitātes, tiks izvēlēta valoda un vizuālie tēli, kas mazina diskrimināciju un stereotipu veidošanos par kādu no dzimumiem, personām ar invaliditāti, reliģisko pārliecību, vecumu, rasi un etnisko izcelsmi vai seksuālo orientāciju (skat. LM metodisko materiālu “Ieteikumi diskrimināciju un stereotipus mazinošai komunikācijai ar sabiedrību”, (pieejams šeit: https://www.lm.gov.lv/lv/metodiskie-materiali; https://www.lm.gov.lv/lv/media/18838/download).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specifiskās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nodrošinātas dzimumu līdztiesības ekspertu konsultācijas (vai konsultatīva rakstura pasākumi) mediju kampaņu satura izvērtēšanai no  dzimumu līdztiesības viedokļa (ietverot šādu prasību iepirkuma nolikumā un attiecīgi pakalpojuma sniedzējiem pievienojot dokumentus, piem. konsultāciju protokolus)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mediju kampaņu saturā tiks integrēti jautājumi par dzimumu līdztiesību, personu ar invaliditāti vienlīdzīgām iespējām, diskriminācijas novēršanu vecuma, etniskās piederības un citu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papildināto anotācijas 8.sadaļu un noteikumu projekta 28.punktu un 29.4.apakšpunktu.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8.1.13.apakšsadaļu ar informāciju par fizisko personu datu aizsardzības pasākumu ievērošanu, ņemot vērā noteikumu projektā 29.punktā minēto - "Īstenojot projektu, finansējuma saņēmējs uzkrāj datus par: nacionālo un starptautisko jauno profesionāļu meistarības konkursu ietvaros atbalstu saņēmušo personu skaitu, dzimumu, vecumu, profesionālās izglītības iestādi un profesionālo kvalifikāciju;".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datu apstrāde tiks veikta atbilstoši Eiropas Parlamenta un Padomes Regulas 2016/679 par fizisku personu aizsardzību attiecībā uz personas datu apstrādi un šādu datu brīvu apriti un ar ko atceļ Direktīvu 95/46/EK un Fizisko personu datu apstrādes likuma prasībām. Atbilstoši minētās regulas un Fizisko personu datu apstrādes likuma prasībām tiks ievēroti personas datu apstrādes principi un  datu apstrādes likumīgums.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vienādu pieeju ES fondu pasākumu īstenošanas MK noteikumu anotācijas aizpildīšanai un, ievērojot vadlīnijās "Horizontālais princips “Vienlīdzība, iekļaušana, nediskriminācija un pamattiesību ievērošana” vadlīnijas īstenošanai un uzraudzībai  (2021-2027)" noteikto, aicinām 8.2. sadaļā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pasākuma ietekmi uz horizontālo principu "Vienlīdzība, iekļaušana, nediskriminācija un pamattiesību ievērošana" (netieša ietekme)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noteikumos paredzētajiem horizontālā principa rādītājiem;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projektu iesniegumu vērtēšanas kritērija veidu, kura ietvaros projekta iesniedzējam ir jāsniedz informācija par šī horizontālā principa ievērošanu, paredzot specifiskas darbības, kas veicina vienlīdzību, iekļaušanu, nediskrimināciju un pamattiesību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citu informāciju, piemēram, informāciju par nosacījumu finansējuma saņēmējam veikt sociāli atbildīgus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papildināto anotācijas 8.sadaļu un noteikumu projekta 28.punktu un 29.4.apakšpunktu.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2023. gadā līdz vienošanās par projekta īstenošanu noslēgšanai ar Centrālo finanšu un līgumu aģentūru 4.2.2.9. pasākuma "Izglītības procesa individualizācija un starpnozaru sadarbība profesionālās izglītības izcilībai" (turpmāk – 4.2.2.9. pasākums) otrās projekta iesniegumu atlases kārtas īstenošanai nepieciešamo finansējumu attiecināmo izmaksu segšanai Valsts izglītības attīstības aģentūrai kā 4.2.2.9. pasākuma otrās atlases kārtas plānotajam finansējuma saņēmējam līdz 180 000</w:t>
            </w:r>
            <w:r w:rsidR="00000000" w:rsidRPr="00000000" w:rsidDel="00000000">
              <w:rPr>
                <w:i w:val="1"/>
                <w:rtl w:val="0"/>
              </w:rPr>
              <w:t xml:space="preserve"> euro</w:t>
            </w:r>
            <w:r w:rsidR="00000000" w:rsidRPr="00000000" w:rsidDel="00000000">
              <w:rPr>
                <w:rtl w:val="0"/>
              </w:rPr>
              <w:t xml:space="preserve"> apmērā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sniegts pamatojums, kāpēc Ministru kabineta sēdes protokollēmums ir papildināts ar 2.punktu, kas paredz, ka 2023. gadā līdz vienošanās par projekta īstenošanu noslēgšanai ar Centrālo finanšu un līgumu aģentūru 4.2.2.9. pasākuma finansējumu attiecināmo izmaksu segšanai līdz 180 000 </w:t>
            </w:r>
            <w:r w:rsidR="00000000" w:rsidRPr="00000000" w:rsidDel="00000000">
              <w:rPr>
                <w:i w:val="1"/>
                <w:rtl w:val="0"/>
              </w:rPr>
              <w:t xml:space="preserve">euro </w:t>
            </w:r>
            <w:r w:rsidR="00000000" w:rsidRPr="00000000" w:rsidDel="00000000">
              <w:rPr>
                <w:rtl w:val="0"/>
              </w:rPr>
              <w:t xml:space="preserve">apmērā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 jāpapildina ar detalizētiem aprēķiniem, kas pamato nepieciešamo finansējuma apmēru 2023. gadam līdz vienošanās par projekta īstenošanu noslēgšanai ar Centrālo finanšu un līgumu aģentūru 4.2.2.9 pasākuma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anotācijas 3.sadaļu. Vienlaikus skaidrojam, ka  atbilstoši noteikumu projektā noteiktajam izmaksas ir attiecināmas no 02.01.2023, lai nodrošinātu projektā plānoto darbību īstenošanu 2023.gadā.  No 2023.gada I ceturkšņa līdz šim brīdim tiek īstenota noteikumu  projekta 13.2. apakšpunktā noteiktā darbība -  konkursantu sagatavošana un Latvijas nacionālās delegācijas dalības nodrošināšana starptautiskajos jauno profesionāļu meistarības konkursos </w:t>
            </w:r>
            <w:r w:rsidR="00000000" w:rsidRPr="00000000" w:rsidDel="00000000">
              <w:rPr>
                <w:i w:val="1"/>
                <w:rtl w:val="0"/>
              </w:rPr>
              <w:t xml:space="preserve">EuroSkills</w:t>
            </w:r>
            <w:r w:rsidR="00000000" w:rsidRPr="00000000" w:rsidDel="00000000">
              <w:rPr>
                <w:rtl w:val="0"/>
              </w:rPr>
              <w:t xml:space="preserve"> un </w:t>
            </w:r>
            <w:r w:rsidR="00000000" w:rsidRPr="00000000" w:rsidDel="00000000">
              <w:rPr>
                <w:i w:val="1"/>
                <w:rtl w:val="0"/>
              </w:rPr>
              <w:t xml:space="preserve">WorldSkills </w:t>
            </w:r>
            <w:r w:rsidR="00000000" w:rsidRPr="00000000" w:rsidDel="00000000">
              <w:rPr>
                <w:rtl w:val="0"/>
              </w:rPr>
              <w:t xml:space="preserve">un 2023.gada IV ceturksnī tiks uzsākta projekta 13.1. apakšpunktā noteiktā darbība - nacionālo jauno profesionāļu meistarības konkursu </w:t>
            </w:r>
            <w:r w:rsidR="00000000" w:rsidRPr="00000000" w:rsidDel="00000000">
              <w:rPr>
                <w:i w:val="1"/>
                <w:rtl w:val="0"/>
              </w:rPr>
              <w:t xml:space="preserve">SkillsLatvia</w:t>
            </w:r>
            <w:r w:rsidR="00000000" w:rsidRPr="00000000" w:rsidDel="00000000">
              <w:rPr>
                <w:rtl w:val="0"/>
              </w:rPr>
              <w:t xml:space="preserve"> organizēšana. Lai sasniegtu projektā plānotos rezultātus un rādītājus līdz 2027.gadam 13.2. apakšpunktā noteiktā darbība ir jāuzsāk 2023.gadā un tās norise nav nobīdāma laika grafikā, tā kā starptautiskie konkursi notiek vienu reizi kalendārajā gadā III vai IV ceturksnī. Ņemot vērā minēto, darbības īstenošanai finansējuma saņēmējs ir nodrošinājis finansējumu no valsts budžeta 70.08.00 apakšprogrammas “Valsts izglītības attīstības aģentūra” finanšu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180 000 </w:t>
            </w:r>
            <w:r w:rsidR="00000000" w:rsidRPr="00000000" w:rsidDel="00000000">
              <w:rPr>
                <w:i w:val="1"/>
                <w:rtl w:val="0"/>
              </w:rPr>
              <w:t xml:space="preserve">euro</w:t>
            </w:r>
            <w:r w:rsidR="00000000" w:rsidRPr="00000000" w:rsidDel="00000000">
              <w:rPr>
                <w:rtl w:val="0"/>
              </w:rPr>
              <w:t xml:space="preserve"> apmērā līdz vienošanās par projekta īstenošanu noslēgšanai ar Centrālo finanšu un līgumu aģentūru no 74. resora "Gadskārtējā valsts budžeta izpildes procesā pārdalāmais finansējums" programmas 80.00.00 "Nesadalītais finansējums Eiropas Savienības politiku instrumentu un pārējās ārvalstu finanšu palīdzības līdzfinansēto projektu un pasākumu īstenošanai" ir nepieciešams, lai 2023.gada ietvaros savlaicīgi  pārgrāmatotu jau veiktos izdevumus no finansējuma saņēmēja finanšu līdzekļiem un turpinātu sekmīgu projekta īstenošanu, ievērojot iespējamību, ka vienošanās par projekta īstenošanu tiek noslēgta tikai 2023.gada IV ceturksnī.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2023. gadā līdz vienošanās par projekta īstenošanu noslēgšanai ar Centrālo finanšu un līgumu aģentūru 4.2.2.9. pasākuma "Izglītības procesa individualizācija un starpnozaru sadarbība profesionālās izglītības izcilībai" (turpmāk – 4.2.2.9. pasākums) otrās projekta iesniegumu atlases kārtas īstenošanai nepieciešamo finansējumu attiecināmo izmaksu segšanai Valsts izglītības attīstības aģentūrai kā 4.2.2.9. pasākuma otrās atlases kārtas plānotajam finansējuma saņēmējam līdz 180 000</w:t>
            </w:r>
            <w:r w:rsidR="00000000" w:rsidRPr="00000000" w:rsidDel="00000000">
              <w:rPr>
                <w:i w:val="1"/>
                <w:rtl w:val="0"/>
              </w:rPr>
              <w:t xml:space="preserve"> euro</w:t>
            </w:r>
            <w:r w:rsidR="00000000" w:rsidRPr="00000000" w:rsidDel="00000000">
              <w:rPr>
                <w:rtl w:val="0"/>
              </w:rPr>
              <w:t xml:space="preserve"> apmērā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 – 2027. gadam 4. politikas mērķa "Sociālāka un iekļaujošāka Eiropa, īstenojot Eiropas sociālo tiesību pīlāru" 4.2. prioritātes "Izglītība, prasmes un mūžizglītība"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(turpmāk – pasākums) otro projekta iesniegumu atlases kārtu (turpmāk – otrā kārta);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"4. politikas mērķa "Sociālāka un iekļaujošāka Eiropa, īstenojot Eiropas sociālo tiesību pīlāru" 4.2. prioritātes "Izglītība, prasmes un mūžizglītība", lai nodrošinātu atbilstību noteikumu projekta nosaukumam.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(turpmāk – pasākums) otro projekta iesniegumu atlases kārtu (turpmāk – otrā kārta);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otrajai kārtai plānoto un pieejamo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1.3.apakšpunktu ar frāzi "plānoto un" pirms vārda "pieejamo".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otrajai kārtai plānoto un pieejamo finansējumu;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otrajai kārtai pieejamo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1.3.apakšpunktu ar frāzi "plānoto un" pirms vārda "pieejamo".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otrajai kārtai plānoto un pieejamo finansējumu;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Sociālā fonda Plus projekta (turpmāk – projekts) iesniedzējam;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noteikuma projekta 1.4.apakšpunktu ar frāzi "un finansējuma saņēmējam" pēc vārda "iesniedzējam", ņemot vērā, ka noteikumu projektā ir ietvertas prasības arī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Sociālā fonda Plus projekta (turpmāk – projekts) iesniedzējam un finansējuma saņēmējam;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 profesionālās izglītības iestādes, to izglītojamie, absolventi, jaunie profesionāļi vecumā līdz 25 gadiem un pedagogi.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norādīto mērķa grupas vecumu, ievērojot anotācijā norādīto - dalībnieku vecums konkursa gadā nedrīkst pārsniegt 22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starptautisko profesionālās meistarības konkursu noteikumiem, tajos var piedalīties jaunieši vecumā līdz 25 gadiem.  Projekta ietvaros ir 2 vecuma ierobežojumi, kas saistīti ar iespēju piedalīties starptautiskajos jauno profesionāļu meistarības konkursos. Nacionālā konkursa vecuma ierobežojums - nepārsniegt 22 gadu vecumu, dod iespēju  potenciālajam starptautiskā konkursa kandidātam pilnvērtīgi un kvalitatīvi gatavoties un piedalīties starptautiskajā konkursā, kurā vecuma ierobežojums dalībai ir 25 gadi.  22 gadu vecumu sasniegušie nacionālā konkursa dalībnieki diemžēl nevar kvalificēties dalībai pasaules jauno profesionāļu meistarības konkursā WorldSkills, kura vecuma ierobežojums ir 22 gadi.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 profesionālās izglītības iestādes, to izglītojamie, absolventi - jaunie profesionāļi vecumā līdz 25 gadiem un pedagogi.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otrās kārtas ietvaros ir sasniedzami šādi programmā noteiktie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rādītāju veidus atbilstoši 2023.gada 30.maijā apstiprinātajās vadlīnijās Nr.1.4. "Vadlīnijas Ministru kabineta noteikumu par specifiskā atbalsta mērķa īstenošanu izstrādei Eiropas Savienības fondu 2021.—2027. gada plānošanas periodā" norādītajiem rādītāju veidiem, kas paredz, ka ir trīs rādītāju veidi - iznākuma rādītāji, rezultāta rādītāji, nacionālie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otrās kārtas ietvaros līdz 2029.gada 31. decembrim ir sasniedzami šādi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iznākuma rādītājs – nacionāla, reģionāla vai vietēja mēroga valsts administrācijas vai sabiedrisko pakalpojumu iestāžu un pakalpojumu skaits, kas saņēmuši atbalstu, – 1, tai skaitā līdz 2024. gada 31. decembrim –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rezultāta rādītājs – iestādes, kas ieviesušas uzlabojumus izglītības un mācību sistēmu kvalitātei, efektivitātei un atbilstībai darba tirgum, –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nacionālie rādītāji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nacionālo jauno profesionāļu meistarības konkursu SkillsLatvia skaits, kuru norise nodrošināta projektā –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starptautisko jauno profesionāļu meistarības konkursu EuroSkills un WorldSkills skaits, kuros nodrošināta dalība no projekta –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4.3.3. starptautiskajos jauno profesionāļu meistarības konkursos piedalījušos konkursantu skaits – vismaz 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noteikumu projekta precizēto 5. punkta redakciju, kas papildināta ar rādītāju sasniegšanas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otrās kārtas ietvaros līdz 2029. gada 31. decembrim ir sasniedzami šādi uzraudzības rādītāji: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otrās kārtas ietvaros ir sasniedzami šādi uzraudzības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rādītāju veidus atbilstoši saskaņošanā esošajās vadlīnijās "Vadlīnijas Ministru kabineta noteikumu par specifiskā atbalsta mērķa īstenošanu izstrādei Eiropas Savienības fondu 2021.—2027. gada plānošanas periodā" norādītajam, kas paredz, ka Programmā ietvertie rādītāji ir programmas iznākuma rādītājs un programmas rezultāta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otrās kārtas ietvaros līdz 2029. gada 31. decembrim ir sasniedzami šādi uzraudzības rādītāji: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Projekta iesniedzējs pasākuma otrās kārtas ietvaros ir tiešās pārvaldes iestāde – Valsts izglītības attīstības aģentūra, kas pēc tam, kad ir apstiprināts projekta iesniegums, ir arī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10.punktā vārdu "arī". Vēršam uzmanību, ka saskaņā ar Eiropas Savienības fondu 2021.-2027.gada plānošanas perioda vadības likuma regulējumu, projekta iesniedzējs ir finansējuma saņēmējs, ja tā projekta iesniegums ir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Projekta iesniedzējs pasākuma otrās kārtas ietvaros ir tiešās pārvaldes iestāde – Valsts izglītības attīstības aģentūra, kas pēc tam, kad ir apstiprināts projekta iesniegums, ir finansējuma saņēmējs.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 iesniedzējs sagatavo projekta iesniegumu atbilstoši projektu iesniegumu atlases nolikumā noteiktajām  prasībām un uzaicinājumā noteiktajā termiņā, iesniedz to Centrālajā finanšu un līgumu aģentūrā kā sadarbības iestādē, izmantojot Kohēzijas politikas fondu vadības informācijas sistēmas elektronisko vidi.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12.punktā vārdus "Centrālajā finanšu un līgumu aģentūrā kā", ņemot vērā, ka iestāde, kas pilda sadarbības iestādes funkcijas ir noteikta ar Eiropas Savienības fondu 2021.-2027.gada plānošanas perioda vadības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 iesniedzējs sagatavo projekta iesniegumu atbilstoši projektu iesniegumu atlases nolikumā noteiktajām  prasībām un uzaicinājumā noteiktajā termiņā, iesniedz to sadarbības iestādē, izmantojot Kohēzijas politikas fondu vadības informācijas sistēmas elektronisko vidi.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informācijas un publicitātes pasākumi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vadošās iestādes vadlīnijās "Vadlīnijas Ministru kabineta noteikumu par specifiskā atbalsta mērķa īstenošanu izstrādei Eiropas Savienības fondu 2021.—2027. gada plānošanas periodā" lietoto jēdzienu "komunikācijas un vizuālās identitātes prasību nodrošināšanas nosacījumi", aicinām izvērtēt un pēc nepieciešamības precizēt noteikumu projekta 13.5.apakšpunktu, 15.2.7.apakšpunktu un 31.punktu. Vienlaikus lūdzam attiecīgo informāciju par informācijas un publicitātes pasākumu nodrošināšanu (komunikācijas un vizuālās identitātes prasību nodrošināšanas nosacījumu ievērošanu), tostarp atsauces uz attiecīgajiem dokumentiem norādīt arī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noteikumu projekta 13.5.apakšpunktu, 15.2.7.apakšpunktu un 31.punktu.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komunikācijas un vizuālās identitātes prasību nodrošināšanas pasākumi par projekta īstenošanu.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 kas līdz atbildīgās iestādes izstrādātās vienkāršoto izmaksu metodikas apstiprināšanai ir attiecināmas kā faktiskās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nosacījumu, ka daļlaika attiecināmības principa gadījumā pēc faktiskajām izmaksām, attiecināma ir ne mazāka kā 30 procentu noslodze.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noteikumu projekta 15.1.apakšpunktu.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 kas līdz atbildīgās iestādes izstrādātās vienkāršoto izmaksu metodikas apstiprināšanai ir attiecināmas kā faktiskās izmaksas. Ja personāla iesaiste projektā ir nodrošināta saskaņā ar daļlaika attiecināmības principu, attiecināma ir ne mazāka kā 30 procentu noslodze;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iekšzemes komandējumu un dienesta braucienu izmaksas finansējuma saņēmēja projekta īstenošanas personālam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piesaistītājiem ekspertiem un konkursantiem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minētās atbalstāmās darbības īstenošanai, attiecināmas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MK noteikumu projekta 15.2.1.apakšpunktā paredzēto iekšzemes komandējumu un dienesta braucienu izmaksu ekspertiem un konkursantiem MK noteikumu 13.2.apakšpunktā minētās atbalstāmās darbības īstenošanai nepieciešamību, t.sk. kontekstā ar MK noteikumu projekta 15.2.6.7.apakšpunktā paredzētajām izmaksām 13.2.apakšpunktā minēto atbalstāmo darbību īstenošanai. Papildus vēršam uzmanību uz to, ka anotācijā, skaidrojot to, kurām izmaksām ir plānots piemērot vienkāršotās izmaksas, teikts, ka “</w:t>
            </w:r>
            <w:r w:rsidR="00000000" w:rsidRPr="00000000" w:rsidDel="00000000">
              <w:rPr>
                <w:i w:val="1"/>
                <w:rtl w:val="0"/>
              </w:rPr>
              <w:t xml:space="preserve">Vienkāršotās izmaksas ir plānots piemērot izmaksām, kas norādītas noteikumu projekta </w:t>
            </w:r>
            <w:r w:rsidR="00000000" w:rsidRPr="00000000" w:rsidDel="00000000">
              <w:rPr>
                <w:i w:val="1"/>
                <w:u w:val="single"/>
                <w:rtl w:val="0"/>
              </w:rPr>
              <w:t xml:space="preserve">15.2.1. apakšpunktā</w:t>
            </w:r>
            <w:r w:rsidR="00000000" w:rsidRPr="00000000" w:rsidDel="00000000">
              <w:rPr>
                <w:i w:val="1"/>
                <w:rtl w:val="0"/>
              </w:rPr>
              <w:t xml:space="preserve"> (iekšzemes komandējumi un dienesta braucieni – naktsmītnes un dienas nauda </w:t>
            </w:r>
            <w:r w:rsidR="00000000" w:rsidRPr="00000000" w:rsidDel="00000000">
              <w:rPr>
                <w:i w:val="1"/>
                <w:u w:val="single"/>
                <w:rtl w:val="0"/>
              </w:rPr>
              <w:t xml:space="preserve">projekta personālam</w:t>
            </w:r>
            <w:r w:rsidR="00000000" w:rsidRPr="00000000" w:rsidDel="00000000">
              <w:rPr>
                <w:i w:val="1"/>
                <w:rtl w:val="0"/>
              </w:rPr>
              <w:t xml:space="preserve">)</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anotāciju un noteikumu projekta 15.2.6.7.apakšpunktu.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iekšzemes komandējumu un dienesta braucienu izmaksas finansējuma saņēmēja projekta īstenošanas personālam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piesaistītājiem ekspertiem un konkursantiem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minētās atbalstāmās darbības īstenošanai, attiecināmas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transportlīdzekļu noma, transporta pakalpojumu pirkšana, maksa par sabiedriskā transporta izmantošanu)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 (ja attiecināma vienas vienības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uz "transporta pakalpojumu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Priekšlikumu izvērtējām, nav nepieciešams sašaurināt izmaksu pozīcijas nosaukumu, paredzot tajā tikai pakalpojumus un neņemot vērā akcīzes preces iegādi. Turklāt arī  vadošās iestādes izstrādātajā metodikā  "Vienas vienības izmaksu standarta likmes aprēķina un piemērošanas metodika 1 km izmaksām darbības programmas “Izaugsme un nodarbinātība” un Eiropas Savienības kohēzijas politikas programmas 2021.–2027.gadam  īstenošanai" tiek lietots termins - transporta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15.2.3.apakšpunkta izmaksu pozīcija ir precizēta un ir izveidotas 2 atsevišķas izmaksu pozīcijas - transporta izmaksas un transportlīdzekļu noma.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transporta pakalpojumu pirkšana, maksa par sabiedriskā transporta izmantošanu) finansējuma saņēmēja projekta īstenošanas un vadības personālam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15.2.5.7. naktsmītnes, ēdināšanas un transporta pakalpojumu izmaksas šo noteikumu </w:t>
            </w:r>
            <w:r w:rsidR="00000000" w:rsidRPr="00000000" w:rsidDel="00000000">
              <w:rPr>
                <w:rtl w:val="0"/>
              </w:rPr>
              <w:t xml:space="preserve">13.1.</w:t>
            </w:r>
            <w:r w:rsidR="00000000" w:rsidRPr="00000000" w:rsidDel="00000000">
              <w:rPr>
                <w:rtl w:val="0"/>
              </w:rPr>
              <w:t xml:space="preserve"> un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arī šeit nav piemērojamas vadošās iestādes izstrādātās horizontālās metodikas.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Priekšlikumu izvērtējām, skaidrojam, ka noteikumu projekta 15.2.6.7.apakšpunktā plānotas izmaksas konkursa SkillsLatvia dalībniekiem. Naktsmītnes netiek organizētas kā iekšzemes komandējums. Transporta pakalpojumiem tiek izmantots nomas pakalpojums. Līdz ar to vadošās iestādes izstrādātās metodikas - "Vienas vienības izmaksu standarta likmes aprēķina un piemērošanas metodika iekšzemes komandējumu izmaksām” un "Vienas vienības izmaksu standarta likmes aprēķina un piemērošanas metodika 1 km izmaksām” - nav piemērojamas.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15.2.6.7. naktsmītnes, ēdināšanas un transporta pakalpojumu izmaksas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minētās atbalstāmās darbības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Pievienotās vērtības nodoklis uzskatāms par attiecināmām izmaksām, ja tas nav atgūstams atbilstoši Latvijas Republikas normatīvajiem aktiem nodokļu politikas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Finanšu ministrijas Vadlīniju Nr.1.2. “Vadlīnijas attiecināmo izmaksu noteikšanai Eiropas Savienības kohēzijas politikas programmas 2021.-2027.gada plānošanas periodā" 19.1.apakšpunktā noteikto, proti, ka saskaņā ar Kopīgo noteikumu regulas 64.panta 1.punkta c) apakšpunktu PVN ir attiecināmas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Projektiem, kuru kopējās izmaksas ir mazākas par 5 milj. EUR (ieskaitot PVN). Savukārt gadījumos, kad finansējuma saņēmējs ir valsts atbalsta (t.sk. de minimis) saņēmējs PVN tiešajām attiecināmajām izmaksām var tikt attiecināms tikai tādā gadījumā, ja tas nav atgūstams atbilstoši normatīvajiem aktiem nodokļu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Projektiem, kuru kopējās izmaksas ir vismaz 5 milj. EUR (ieskaitot PVN), ja tas nav atgūstams saskaņā ar attiecīgās valsts tiesību aktiem PVN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Gala saņēmēju veiktas investīcijas Finanšu instrumentu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lūdzam izvērtēt, vai attiecīgā punkta redakcija nebūtu precizējama. Vienlaikus, ja gadījumā tiek izmantots vienkāršots PVN līdzekļu attiecināšanas princips projektiem, kuru kopējās izmaksas ir mazākas par 5 milj. EUR (ieskaitot PVN), tad lūdzam anotācijā sniegt informāciju, ka tiks nodrošināts dubultā finansējuma novēršanas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Pievienotās vērtības nodoklis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64.panta 1.punkta c) apakšpunktu.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Projektu īsteno saskaņā ar noslēgto vienošanos par projekta īstenošanu līdz 2027.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21.punktu ar vārdiem "Finansējuma saņēmējs" pirms vārda "Projektu", lai akcentētu, kuram attiecīgais pienākums ir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Finansējuma saņēmējs projektu īsteno saskaņā ar noslēgto vienošanos par projekta īstenošanu līdz 2027. gada 31.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Finansējuma saņēmējs pasākuma otrās kārtas ietvaros īsteno projektu, kas nav saistīts ar saimnieciskās darbības veikšanu.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23.punktu, kas dublē noteikumu projekta 22.punktā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sadarbībā ar  Valsts izglītības satura centru, nozaru profesionālajām organizācijām, uzņēmumiem, profesionālās izglītības iestādēm, kā arī konsultējoties ar Izglītības un zinātnes ministriju, izstrādā un līdz 2025. gada 31. decembrim Izglītības un zinātnes ministrijā iesniedz profesionālās izglītības prasmju meistarības konkursu un talantu attīstības īstenošanas modeli pēc 2027. gada, kurš paredz vismaz šādas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 skaidrot, vai IZM, VISC, darba devēju/nozaru profesionālās organizācijas un profesionālās izglītības iestādes projektā plānots piesaistīt kā sadarbības partnerus vai šī partnerības īstenošana paredzēta citādākā formātā.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projekta ietvaros plānotais sadarbības formāts starp minētajām institūcijām ir savstarpēja informācijas apmaiņa, dalība organizētajos semināros, diskusijās un citos pasākumos. Sadarbības līgumus starp institūcijām nav plānots slēgt.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Finansējuma saņēmējs sadarbībā ar  Valsts izglītības satura centru, nozaru profesionālajām organizācijām, uzņēmumiem, profesionālās izglītības iestādēm, kā arī konsultējoties ar Izglītības un zinātnes ministriju, izstrādā un līdz 2025. gada 31. decembrim Izglītības un zinātnes ministrijā iesniedz profesionālās izglītības prasmju meistarības konkursu un talantu attīstības īstenošanas modeli pēc 2027. gada, kurš paredz vismaz šādas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sadarbībā ar  Valsts izglītības satura centru, nozaru profesionālajām organizācijām, uzņēmumiem, profesionālās izglītības iestādēm, kā arī konsultējoties ar Izglītības un zinātnes ministriju, izstrādā un līdz 2025. gada 31. decembrim Izglītības un zinātnes ministrijā iesniedz profesionālās izglītības prasmju meistarības konkursu un talantu attīstības īstenošanas modeli pēc 2027. gada, kurš paredz vismaz šādas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projekta 26.punktā minētā atsauce uz Izglītības un zinātnes ministriju ir kā nozares ministriju vai atbildīgo iestādi, ja nepieciešams, lūdzu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sadarbība projekta ieviešanā, lai izstrādātu profesionālās izglītības prasmju meistarības konkursu un talantu attīstības īstenošanas modeli pēc 2027. gada, ar Izglītības un zinātnes ministriju plānota kā ar nozares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Finansējuma saņēmējs sadarbībā ar  Valsts izglītības satura centru, nozaru profesionālajām organizācijām, uzņēmumiem, profesionālās izglītības iestādēm, kā arī konsultējoties ar Izglītības un zinātnes ministriju, izstrādā un līdz 2025. gada 31. decembrim Izglītības un zinātnes ministrijā iesniedz profesionālās izglītības prasmju meistarības konkursu un talantu attīstības īstenošanas modeli pēc 2027. gada, kurš paredz vismaz šādas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Lai veicinātu horizontālā principa "Vienlīdzīgas iespējas" ieviešanu projektā,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noteiktajās atbalstāmajās darbībās tiks nodrošināta vienlīdzīgu iespēju piemērošana, nodrošinot projektā plānoto pakalpojumu pieejamību dažādām personām vai personu grupām (piemēram, neatkarīgi no dzimuma, vecuma, funkcionāliem traucējumiem vai etniskās piederības).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MK noteikumos paredzēt izmaksas par MK noteikumu projekta 28.punktā  horizontālā principa "Vienlīdzīgas iespējas" darbību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Priekšlikumu izvērtējām, un skaidrojam, ka atsevišķa izmaksu pozīcija nav nepieciešama, jo visi izdevumi, kas var rasties ar  noteikumu projekta 28.punktā noteiktā horizontālā principa "Vienlīdzība, iekļaušana, nediskriminācija un pamattiesību ievērošana" darbību nodrošināšanu, tiks paredzēti izmaksās, kas noteiktas 15.2.6.3. apakšpunktā (telpu, iekārtu un aprīkojuma īre), 15.2.6.4. apakšpunktā (integrētās komunikācijas kampaņas), 15.2.8. apakšpunktā (jaunradītu darba vietu aprīkojums).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Lai veicinātu horizontālā principa "Vienlīdzība, iekļaušana, nediskriminācija un pamattiesību ievērošana" ieviešanu, projektā  plāno vispārīgas un specifiskas darbības, kas veicina vienlīdzību, iekļaušanu, nediskrimināciju un pamattiesību ievērošanu.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Īstenojot projektu, finansējuma saņēmējs uzkrāj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tiks apstrādāti personas dati, lūdzam noteikumu projektu saskaņot arī ar Datu valsts inspekciju, atsaucoties uz viņu 2023.gada 3.februāra vēstuli Nr.7-4.2/19-N "Par tiesību aktu projektu saskaņošanu".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Priekšlikumu izvērtējām, anotācija un noteikumu projekts papildināts ar prasībām, kas attiecas uz personas datu apstrādi.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Īstenojot projektu, finansējuma saņēmējs uzkrāj datus par: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nacionālo un starptautisko jauno profesionāļu meistarības konkursu ietvaros atbalstu saņēmušo konkursantu skaitu, dzimumu, vecumu, profesionālās izglītības iestādi un profesionālo kvalifikāciju. Datus par konkursantiem uzkrāj un apstrādā atbilstoši Eiropas Parlamenta un Padomes 2021. gada 24. jūnija Regulas (ES)  Nr. 2021/1057, ar  ko izveido Eiropas Sociālo fondu Plus (ESF+) un atceļ Regulu (ES) Nr. 1296/2013, I un II pielikumam;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regulas II pielikumu, jo tas neattiecas uz šo specifisko atbalsta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nacionālo un starptautisko jauno profesionāļu meistarības konkursu ietvaros atbalstu saņēmušo konkursantu skaitu, dzimumu, vecumu, profesionālās izglītības iestādi un profesionālo kvalifikāciju;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Finansējuma saņēmējs nodrošina informācijas un publicitātes pasākumus saskaņā ar Eiropas Parlamenta un Padomes 2021. gada 24. jūnija Regulas (ES) Nr. 2021/1060 47. pantu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31.punktu ar frāzi "normatīviem aktiem par" pirms frāzes "kārtību, kādā Eiropas Savienības fondu vadībā iesaistītās institūcijas nodrošina šo fondu ieviešanu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Finansējuma saņēmējs nodrošina komunikācijas un vizuālās identitātes prasību nodrošināšanas pasākumus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 "pirmās" ar vārdu "otrās".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 (turpmāk – noteikumu projekts) ir izstrādāts pēc Izglītības un zinātnes ministrijas iniciatīvas un saskaņā ar Eiropas Savienības fondu 2021.–2027. gada plānošanas perioda vadības likuma 19. panta 6. un 13.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papildināto informāciju ar to, ka MKN 15.2.1.apakšpunktā norādītās izmaksas attiecas arī uz piesaistītājiem ekspertiem un konkursantiem MKN 13.2. apakšpunktā minētās atbalstāmās darbības īstenošanai, lūdzam papildināt anotācijas tekstu "Vienkāršotās izmaksas ir plānots piemērot izmaksām, kas norādītas noteikumu projekta 15.2.1. apakšpunktā (iekšzemes komandējumi un dienesta braucieni – naktsmītnes un dienas nauda projekta personālam)" ar informāciju, ka tas attiecas arī uz piesaistītājiem ekspertiem un konkursantiem.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Vienkāršotās izmaksas ir plānots piemērot izmaksām, kas norādītas noteikumu projekta 15.2.1. apakšpunktā (iekšzemes komandējumi un dienesta braucieni – naktsmītnes un dienas nauda projekta personālam, piesaistītājiem ekspertiem un konkursantiem)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anotācijas 1.3.apakšsadaļu.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"Risinājuma apraksts" papildināt 7.lpp. 2. rindkopu, skaidrojot, kuram citam 4.2.prioritātes SAM/pasākumam tiek paredzēts 4.2.2.9. pasākuma 2. kārtas elastības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elastības finansējumu norādīta anotācijas sadaļas "Risinājuma apraksts" pēdējā rindkopā par 4.2.2.9.pasākuma trešo atlases kārtu.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kā pasākuma ietvaros īstenotais projekts un minētās atbalstāmās darbības veicinās Eiropas Savienības stratēģijā Baltijas jūras reģionam (ESSBJR) noteikto mērķu sasniegšanu, ja attiecināms. Vēršam uzmanību, ka Programmā norādīts, ka 4.2.2.SAM paredzētās darbības var sniegt ieguldījumu ESSBJR politikas virziena “Izglītība”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anotācijas 1.3.sadaļas otrajā rindkopā vārdu "Latvijas" pie frāzes "Latvijas Eiropas Savienības kohēzijas politikas programmā 2021.–2027.gadam", ņemot vērā nostiprināto darbības programmas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anotācijas 1.3.apakšsadaļā pilnos ESF un ESF+ nosaukumus, ņemot vērā, ka saīsinājumi netika atrunāts.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- 03.07.2023.)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8.1.9. sadaļu papildināt ar informāciju, ka projektā piedāvātie prasmju meistarības pasākumi būs</w:t>
            </w:r>
            <w:r w:rsidR="00000000" w:rsidRPr="00000000" w:rsidDel="00000000">
              <w:rPr>
                <w:b w:val="1"/>
                <w:rtl w:val="0"/>
              </w:rPr>
              <w:t xml:space="preserve"> vienlīdzīgi</w:t>
            </w:r>
            <w:r w:rsidR="00000000" w:rsidRPr="00000000" w:rsidDel="00000000">
              <w:rPr>
                <w:rtl w:val="0"/>
              </w:rPr>
              <w:t xml:space="preserve"> pieejami un </w:t>
            </w:r>
            <w:r w:rsidR="00000000" w:rsidRPr="00000000" w:rsidDel="00000000">
              <w:rPr>
                <w:b w:val="1"/>
                <w:rtl w:val="0"/>
              </w:rPr>
              <w:t xml:space="preserve">piekļūstami</w:t>
            </w:r>
            <w:r w:rsidR="00000000" w:rsidRPr="00000000" w:rsidDel="00000000">
              <w:rPr>
                <w:rtl w:val="0"/>
              </w:rPr>
              <w:t xml:space="preserve"> visiem</w:t>
            </w:r>
            <w:r w:rsidR="00000000" w:rsidRPr="00000000" w:rsidDel="00000000">
              <w:rPr>
                <w:b w:val="1"/>
                <w:rtl w:val="0"/>
              </w:rPr>
              <w:t xml:space="preserve"> </w:t>
            </w:r>
            <w:r w:rsidR="00000000" w:rsidRPr="00000000" w:rsidDel="00000000">
              <w:rPr>
                <w:rtl w:val="0"/>
              </w:rPr>
              <w:t xml:space="preserve">profesionālo izglītības iestāžu izglītojamiem un pedagogiem, tostarp tiks īstenotas vispārīgas un specifiskas darbības, kas veicina personu ar invaliditāti vienlīdzīgas iespējas un tiesības. Piemēram, lai nodrošinātu vienlīdzīgas iespējas izglītojamiem un pedagogiem ar funkcionāliem traucējumiem, būs nepieciešams nodrošināt cilvēkiem ar dažāda veida funkcionāliem traucējumiem piekļūstamus informācijas formātus (piem., tulkošana zīmju valodā, subtitrēšana, reāllaika transkripcija, raidījumu un pasākumu ierakstīšana), kā arī būs jānodrošina, ka pasākuma norises vietai ir iespēja fiziski piekļūt un to izmantot apmeklētājiem ar dažādiem funkcionāliem traucējumiem.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- 03.07.2023.)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rast iespēju papildināt sadaļu ar vispārīgo un specifisko darbību, kas veicina dzimumu līdztiesību, piemēriem.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8.1.10.sadaļa.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- 03.07.2023.)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rast iespēju sakārtot sadaļas saturu, nedublējot tekstu, piemēram, attiecībā uz horizontālā principa rādītājiem un neiekļaujot informāciju par vispārīgajām un specifiskajām darbībā, kas veicina dzimumu līdztiesību, nediskrimināciju un personu ar invaliditāti vienlīdzīgas iespējas.  Attiecīgi informāciju par vispārīgajām specifiskajām darbībām aicinām iekļaut  8.1.9. un 8.1.10. sadaļās, atbilstoši Vadlīnijām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23-TA-262</w:t>
    </w:r>
    <w:r>
      <w:br/>
    </w:r>
    <w:r w:rsidR="00000000" w:rsidRPr="00000000" w:rsidDel="00000000">
      <w:rPr>
        <w:rtl w:val="0"/>
      </w:rPr>
      <w:t xml:space="preserve">27.09.2023. 10.25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23-TA-262</w:t>
    </w:r>
    <w:r>
      <w:br/>
    </w:r>
    <w:r w:rsidR="00000000" w:rsidRPr="00000000" w:rsidDel="00000000">
      <w:rPr>
        <w:rtl w:val="0"/>
      </w:rPr>
      <w:t xml:space="preserve">27.09.2023. 10.25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Izziņa_23-TA-262.docx</dc:title>
</cp:coreProperties>
</file>

<file path=docProps/custom.xml><?xml version="1.0" encoding="utf-8"?>
<Properties xmlns="http://schemas.openxmlformats.org/officeDocument/2006/custom-properties" xmlns:vt="http://schemas.openxmlformats.org/officeDocument/2006/docPropsVTypes"/>
</file>