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24-TA-500: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Vietējo pašvaldību referendumu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Vietējo pašvaldību referendumu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Vietējo pašvaldību referendumu likumā” ir virzāms izskatīšanai Ministru kabinetā tikai vienlaicīgi ar pamatlikumprojektu “Grozījumi Vēlētāju reģistra likumā”, par kuru ir izteikti Finanšu ministrijas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4.2.apakšpunkts, kurā norādīts, ka likumprojekts ir virzāms vienā likumprojektu paketē ar šādiem likumprojektiem: "Grozījumi Pašvaldības domes vēlēšanu likumā" (24-TA-494), "Grozījumi Saeimas vēlēšanu likumā" (24-TA-497), "Grozījumi Eiropas Parlamenta vēlēšanu likumā" (24-TA-498), "Grozījumi Vēlētāju reģistra likumā" (24-TA-482).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Vietējo pašvaldību referendumu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elektroniskā parakstu vākšana un pašvaldības referendumu ierosināšana ir cieši saistīta ar Centrālās vēlēšanu komisijas funkciju izpildi un metodiskā palīdzība pašvaldības referenduma organizēšanā var būt nepieciešama arī Valsts reģionālās attīstības aģentūrai, kā e-pakalpojuma turētājam, lūdzam rast iespēju veikt grozījumus likuma 3.panta otrajā daļā un 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vēlēšanu komisija, ja nepieciešams, sniedz vēlēšanu komisijai un Valsts reģionālās attīstības aģentūrai metodisku palīdzību pašvaldības referenduma sagatavošanā un vadīšanā.”;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piekto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minimālās drošības un tehniskās prasības elektroniskai parakstu vākšanai par pašvaldības referenduma ierosināšanu.”.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Vietējo pašvaldību referendumu likuma 4.panta piektās daļas grozījumiem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Vietējo pašvaldību referendumu likuma 3.panta otrās daļas grozījumiem norādāms, ka Vēlētāju reģistra likuma 3. panta pirmā daļa paredz, ka Vēlētāju reģistra darbības metodisko vadību veic Centrālā vēlēšanu komisija. Pēc likumprojekta “Grozījumi Vēlētāju reģistra likumā” (24-TA-482) spēkā stāšanās arī Elektroniskā tiešsaistes vēlētāju reģistra darbības metodisko vadību veiks Centrālā vēlēšanu komisija, tādējādi, sniedzot metodisko atbalstu Valsts reģionālās attīstības aģentūrai. Līdz ar to, lai nedublētu tiesību normas, iebildums par Vietējo pašvaldību referendumu likuma 3. panta otrās daļas grozījumiem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Balsošana pašvaldības referendumā notiek klātienē pašvaldības vēlēšanu iecirkņos un iepriekšējā balsošana notiek elektroniski. Iepriekšējai balsošanai izmanto iepriekšējās balsošanas e-pakalpojumu (turpmāk — balsošanas  e-pakalpojums). Balsošanas  e-pakalpojuma pārzinis ir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detalizēti apraksta nepieciešamo datu apmaiņas apjomu, operatīva procesa nodrošināšanai un administratīva resursa taupībai ir nepieciešams papildināt likumprojekta 4. pantu ar (3 </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pantu ar (3 </w:t>
            </w:r>
            <w:r w:rsidR="00000000" w:rsidRPr="00000000" w:rsidDel="00000000">
              <w:rPr>
                <w:vertAlign w:val="superscript"/>
                <w:rtl w:val="0"/>
              </w:rPr>
              <w:t xml:space="preserve">1</w:t>
            </w:r>
            <w:r w:rsidR="00000000" w:rsidRPr="00000000" w:rsidDel="00000000">
              <w:rPr>
                <w:rtl w:val="0"/>
              </w:rPr>
              <w:t xml:space="preserve">)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Pilsonības un migrācijas lietu pārvalde, Tiesu administrācija un Valsts reģionālās attīstības aģentūra sadarbojas saskaņā ar šo likumu, neslēdzot savstarpējas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Balsošana pašvaldības referendumā notiek klātienē pašvaldības vēlēšanu iecirkņos un iepriekšējā balsošana notiek elektroniski. Iepriekšējai balsošanai izmanto iepriekšējās balsošanas e-pakalpojumu (turpmāk — balsošanas  e-pakalpojums). Balsošanas  e-pakalpojuma pārzinis ir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detalizēti apraksta nepieciešamo datu apmaiņas apjomu, operatīva procesa nodrošināšanai un administratīva resursa taupībai ir nepieciešams papildināt likumprojekta 4. pantu ar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Pilsonības un migrācijas lietu pārvalde, Tiesu administrācija un Valsts reģionālās attīstības aģentūra sadarbojas saskaņā ar šo likumu, neslēdzot savstarpējas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pašvaldību referenduma likuma 19.panta sestā daļa noteic, ka </w:t>
            </w:r>
            <w:r w:rsidR="00000000" w:rsidRPr="00000000" w:rsidDel="00000000">
              <w:rPr>
                <w:i w:val="1"/>
                <w:rtl w:val="0"/>
              </w:rPr>
              <w:t xml:space="preserve">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Šo balsotāju iesniegumus attiecīgajai vēlēšanu komisijai nogādā iestādes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likumā nav detalizēti noteikta kārtība, kādā rīkojas ieslodzījuma vietas administrācija, organizējot balsošanu ieslodzījuma vietās, tai skaitā nav noteikts, kā ieslodzījuma vietas administrācija, saņemot personas iesniegumu, pārbauda, vai persona ir balsstiesīga.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ieslodzītā personas lietai nav pievienots personas apliecinošs dokuments, ieslodzījuma vietas administrācijai nepieciešams pārbaudīt personas identitāti. Personas identitāti pārbauda ne tikai pārbaudot personas vārdu, uzvārdu, personas kodu, valstisko piederību, bet arī personas fotoattēlu. Ņemot vērā, ka Fizisko personu reģistrā netiek uzkrātas ziņas par personu fotoattēliem, bet tās tiek uzkrātas Personu apliecinošu dokumentu informācijas sistēmā, ieslodzījuma vietu administrācijai balsošanas organizēšanai ieslodzījuma vietās nepieciešama piekļuve Fizisko personu reģistram un Personu apliecinošu dokumentu informācijas sistēmai, izmantojot Personu datu pārlūku, kas ir datorprogrammas komplekts, kas nodrošina tiešsaistes režīmā vizuāli apskatīt personas datus gan Fizisko personu reģistra, gan no Personu apliecinošu dokumentu informācijas sistēmas, tādējādi nodrošinot ieslodzītās personas identitātes pārbaudi, ja tās lietā nav pievienots personu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likumprojektu, paredzot normatīvo regulējumu, kas noteiktu, kā ieslodzījuma vietas administrācija, saņemot personas iesniegumu, pārbauda, vai persona ir balsstiesīga un tās identitāti, ja personas lietā nav pievienots personu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Vietējo pašvaldību referendumu likuma 16. panta trešo daļu vēlēšanu iecirkņa komisija nodrošina, lai pie ieejas balsošanas telpās tiktu pārbaudīts, vai atnākušie pilsoņi ir balsotāji, vai balsotājs uzrāda derīgu personu apliecinošu dokumentu. Likumdevējs attiecībā uz balsotāja identificēšanu ir noteicis, ka tas uzrāda derīgu personu apliecinošu dokumentu. Izteiktais iebildums paredz, ka ieslodzījuma vietas administrācija identificēts balsotāju pēc informācijas sistēmā norādītā sejas attēla, ja personas lietā nebūs  pievienots personu apliecinošs dokuments. Ar piedāvāto redakciju netiktu ievērots Vietējo pašvaldību referenduma likuma 16.panta trešās daļas 2.punktā noteiktais un tiktu noteikta nevienlīdzīga attieksme pret citiem balsotājiem, kuru identificēšanai netiek paredzēti izņēmumi, ja tiem nebūs derīga personu apliecinoša dokumenta. Personu apliecinoši dokumenti  saskaņā ar Personu apliecinošu dokumentu likumu Latvijas Republikā ir pase un personas apliecība. Attiecīgi personas identitātes pārbaudei tiek izmantoti šie dokumenti un tiesību aktos nav paredzēta iespēja piedalīties vēlēšanās, ja personas rīcībā nav personu apliecinoša dokumenta vai tam ir beidzies derīguma termiņš vai citu iemeslu dēļ tas ir kļuvis nederīgs. Tiesiskās noteiktības un kārtības nodrošināšanai un ņemot vērā procesu nozīmību, nav pieļaujamas atkāpes no esošā tiesiskā regulējuma personas identificēšanas nodrošināšanā.  Vienlaikus norādāms, ka ir spēkā esoša un labi funkcionējoša kārtība kā personām, kuras atrodas ieslodzījuma vietā, tiek noformēti personu apliecinoši dokumenti, tā ka nav pamata uzskatīt, ka personām būtu būtiski šķēršļi dokumenta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izteiktais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grozījumu  likuma 19. panta sestajā daļā, papildinot to pēc vārda "līdzeklis" ar vārdiem "vai kuri izcieš ar brīvības atņemšanu saistītu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19. panta sestā daļa attiecas uz gadījumiem, kad balsotāji </w:t>
            </w:r>
            <w:r w:rsidR="00000000" w:rsidRPr="00000000" w:rsidDel="00000000">
              <w:rPr>
                <w:u w:val="single"/>
                <w:rtl w:val="0"/>
              </w:rPr>
              <w:t xml:space="preserve">atrodas</w:t>
            </w:r>
            <w:r w:rsidR="00000000" w:rsidRPr="00000000" w:rsidDel="00000000">
              <w:rPr>
                <w:rtl w:val="0"/>
              </w:rPr>
              <w:t xml:space="preserve"> pašvaldības teritorijā, kurā notiek referendums, un noteic, ka 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ietvertā likuma 19. panta jaunā astotā daļa nosaka balsošanas organizēšanas kārtību, ja balsotāji, kuriem kā drošības līdzeklis piemērots apcietinājums vai kuri izcieš ar brīvības atņemšanu saistītu sodu, </w:t>
            </w:r>
            <w:r w:rsidR="00000000" w:rsidRPr="00000000" w:rsidDel="00000000">
              <w:rPr>
                <w:u w:val="single"/>
                <w:rtl w:val="0"/>
              </w:rPr>
              <w:t xml:space="preserve">atrodas ārpus</w:t>
            </w:r>
            <w:r w:rsidR="00000000" w:rsidRPr="00000000" w:rsidDel="00000000">
              <w:rPr>
                <w:rtl w:val="0"/>
              </w:rPr>
              <w:t xml:space="preserve"> pašvaldības teritorijas, kurā notiek attiecīgais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skatot abas minētās daļas kopsakarā, tajās nav noteikta kārtība, kādā tiek organizēta balsošana personām, kuras izcieš ar brīvības atņemšanu saistītu sodu un </w:t>
            </w:r>
            <w:r w:rsidR="00000000" w:rsidRPr="00000000" w:rsidDel="00000000">
              <w:rPr>
                <w:u w:val="single"/>
                <w:rtl w:val="0"/>
              </w:rPr>
              <w:t xml:space="preserve">atrodas </w:t>
            </w:r>
            <w:r w:rsidR="00000000" w:rsidRPr="00000000" w:rsidDel="00000000">
              <w:rPr>
                <w:rtl w:val="0"/>
              </w:rPr>
              <w:t xml:space="preserve">pašvaldības teritorijā, kurā notiek referendums. Ņemot vērā minēto, likumprojektu nepieciešams papildināt ar atbilstošiem grozījumiem Likuma 19. panta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kuri atrodas īslaicīgās aizturēšanas vietās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19. panta sestā daļa noteic, ka 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8. pantā ietvertā likuma 19. panta jaunā astotā daļa nosaka balsošanas organizēšanas kārtību, ja balsotāji, kuriem kā drošības līdzeklis piemērots apcietinājums vai kuri izcieš ar brīvības atņemšanu saistītu sodu, atrodas ārpus pašvaldības teritorijas, kurā notiek attiecīgais referendums. Taču minētajā regulējumā nav noteikta balsošanas kārtība personām, kuras atrodas īslaicīgas aizturēšanas vietā, taču atrodas ārpus pašvaldības teritorijas, kurā notiek attiecīgais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likumprojektu ar atbilstošu regulējumu, vai arī papildināt anotāciju ar pamatojumu, kāpēc likumprojektā nav ietverti atbilstoši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kuri atrodas īslaicīgās aizturēšanas vietās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no PMLP šogad saņemamā ETVR versija nevarēs sniegt atbalstu vairākām vienlaicīgajām procedūrām, un 2) likums stājās spēkā jau šā gada 1.septembrī un vairs nav laika ETVR pielāgojumu veikšanai, ir nepieciešams pārejas noteikums, kas ļaus koordinēt referendumu laika grafiku, lai nepieļautu, ka vairāki balsošanas procesi notiek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no PMLP šogad saņemamā ETVR versija nevarēs sniegt atbalstu vairākām vienlaicīgajām procedūrām, un 2) likums stājās spēkā jau šā gada 1.septembrī un vairs nav laika ETVR pielāgojumu veikšanai, ir nepieciešams pārejas noteikums, kas ļaus koordinēt referendumu laika grafiku, lai nepieļautu, ka vairāki balsošanas procesi notiek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2025.gada 31.jūlijam vēlēšanu komisija papildus 9. panta noteiktajai kārtībai nosakot referenduma datumu nodrošina, ka laika posms starp secīgajiem referendumiem nav mazāk par divām nedēļām, referenduma datumu saskaņojot ar Valsts reģionālās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Pilsonības un migrācijas lietu pārvalde, Tiesu administrācija un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Tiesu administrācijas iebildumā norādītajam. Proti, Tiesu administrācijas kompetencē neietilps vēlētāja saraksta izveide. Ņemot vērā minēto, lūgums precizēt likumprojektu, norādot, ka Tiesu administrācija pēc nepieciešamības var izsniegt tās rīcībā esošos datus no Valsts vienotās datorizētās zemesgrāmatas vēlētāju saraksta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Pilsonības un migrācijas lietu pārvaldei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Pilsonības un migrācijas lietu pārvalde, Tiesu administrācija un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Tiesu administrācijas kompetencē neietilps vēlētāja saraksta izveide. Ņemot vērā minēto, lūgums precizēt likumprojektu, norādot ka Tiesu administrācija pēc nepieciešamības var izsniegt tās rīcībā esošos datus no Valsts vienotās datorizētās zemesgrāmatas vēlētāju saraksta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Pilsonības un migrācijas lietu pārvaldei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pašvaldības referenduma sagatavošanu un norisi finansē no pašvaldības budžeta. Izdevumus parakstu vākšanai par pašvaldības referenduma ierosināšanu, elektroniskai balsošanai, vēlētāju reģistram, Elektroniskajam tiešsaistes vēlētāju reģistram, Fizisko personu reģistram un citām informācijas sistēmām finansē no valsts budžeta. Finansējumu parakstu vākšanai par pašvaldības referenduma ierosināšanu nodrošina personas, kas organizē parakstu vākšanu, izņemot finansējumu elektroniskai parakstu vākšanai vienotajā valsts un pašvaldību pakalpojumu portālā www.latvija.gov.lv (turpmāk — portāls www.latvija.lv) un parakstu vākšanas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precizēt likumprojekta 1. panta otro teikumu, precizējot, ka parakstu vākšana tiks organizēta elektroniskā formā, lai novērstu divu vienādas redakcijas un pēc būtības savstarpēji pretrunīgu normu atkārtošanos vienā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pašvaldības referenduma sagatavošanu un norisi finansē no pašvaldības budžeta. Izdevumus elektroniskai parakstu vākšanai par pašvaldības referenduma ierosināšanu, elektroniskai balsošanai, vēlētāju reģistram, Elektroniskajam tiešsaistes vēlētāju reģistram, Fizisko personu reģistram un citām informācijas sistēmām finansē no valsts budžeta. Finansējumu parakstu vākšanai par pašvaldības referenduma ierosināšanu nodrošina personas, kas organizē parakstu vākšanu, izņemot finansējumu elektroniskai parakstu vākšanai vienotajā valsts un pašvaldību pakalpojumu portālā www.latvija.gov.lv (turpmāk — portāls www.latvija.lv) un parakstu vākšanas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pašvaldības referenduma sagatavošanu un norisi finansē no pašvaldības budžeta. Izdevumus parakstu vākšanai par pašvaldības referenduma ierosināšanu, elektroniskai balsošanai, vēlētāju reģistram, Elektroniskajam tiešsaistes vēlētāju reģistram, Fizisko personu reģistram un citām informācijas sistēmām finansē no valsts budžeta,  Finansējumu parakstu vākšanai par pašvaldības referenduma ierosināšanu nodrošina personas, kas organizē parakstu vākšanu, izņemot finansējumu elektroniskai parakstu vākšanai vienotajā valsts un pašvaldību pakalpojumu portālā www.latvija.gov.lv (turpmāk — portāls www.latvija.lv) un parakstu vākšanas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divu vienādu normu atkārtošanos vienā pantā, ierosinām precizēt likumprojekta 1. punktu un 3. panta 5. daļas otrā teikumā norādītos vārdus “elektronisko parakstu vākšanai par pašvaldības referenduma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pašvaldības referenduma sagatavošanu un norisi finansē no pašvaldības budžeta. Izdevumus elektroniskai parakstu vākšanai par pašvaldības referenduma ierosināšanu, elektroniskai balsošanai, vēlētāju reģistram, Elektroniskajam tiešsaistes vēlētāju reģistram, Fizisko personu reģistram un citām informācijas sistēmām finansē no valsts budžeta. Finansējumu parakstu vākšanai par pašvaldības referenduma ierosināšanu nodrošina personas, kas organizē parakstu vākšanu, izņemot finansējumu elektroniskai parakstu vākšanai vienotajā valsts un pašvaldību pakalpojumu portālā www.latvija.gov.lv (turpmāk — portāls www.latvija.lv) un parakstu vākšanas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elektroniskā parakstu vākšana un pašvaldības referendumu ierosināšana ir cieši saistīta ar Centrālās vēlēšanu komisijas funkciju izpildi un metodiskā palīdzība pašvaldības referenduma organizēšanā var būt nepieciešama arī Valsts reģionālās attīstības aģentūrai, kā e-pakalpojuma turētājam un kā pārzinim elektroniskai parakstu vākšanas sistēmai par pašvaldības referenduma ierosināšanu , lūdzam rast iespēju veikt grozījumus likuma 3.panta otrajā daļā un 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vēlēšanu komisija, ja nepieciešams, sniedz vēlēšanu komisijai un Valsts reģionālās attīstības aģentūrai metodisku palīdzību pašvaldības referenduma sagatavošanā un vadīšanā.”;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piekto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minimālās drošības un tehniskās prasības elektroniskai parakstu vākšanai par pašvaldības referenduma ierosināšanu.”.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Balsošana pašvaldības referendumā notiek klātienē pašvaldības vēlēšanu iecirkņos un iepriekšējā balsošana notiek elektroniski. Iepriekšējai balsošanai izmanto iepriekšējās balsošanas e-pakalpojumu (turpmāk — balsošanas  e-pakalpojums). Balsošanas  e-pakalpojuma pārzinis ir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normu, paskaidrojot, kas ir domāts ar “balsošanas  e-pakalpojums ” - vai tas ir valsts informācijas sistēma, vai valsts platforma, vai elektroniskais pakalpojums portālā www.latvija.gov.lv,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nepārprotami skaidrs kam Tiesu administrācija nodod datus no Valsts vienotās datorizētās zemesgrāmatas.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Pilsonības un migrācijas lietu pārvaldei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redakcija nedod skaidrību, kam un kādos gadījumos Tiesu administrācija nodos datus no Valsts vienotās datorizētās zemesgrāmatas vēlētāju saraksta izveidei. Pieļaujam, ka dati ir jānodod Pilsonības un migrācijas lietu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nepieciešamības gadījumā no Valsts vienotās datorizētās zemesgrāmatas var nodot datus vēlētāju saraksta izveidei Pilsonības un migrācijas lietu pārvaldei, savukārt Valsts reģionālās attīstības aģentūra izveido apgabala vēlētāju sarakstu un nodot to vēlēšanu komisijai Centrālās vēlēšanu komisijas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ir precizēta, paredzot, ka Tiesu administrācija datus nodod Pilsonības un migrācijas lietu pārvaldei. Savukārt Pilsonības un migrācijas lietu pārvalde un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Tiesu administrācija no Valsts vienotās datorizētās zemesgrāmatas vēlētāju saraksta izveidei datus nodod Pilsonības un migrācijas lietu pārvaldei un Pilsonības un migrācijas lietu pārvalde,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likumprojekts tiešām ir saistīts ar visiem norādītajiem likumprojektiem, vai tikai ar likumprojektu "Grozījumi Vēlētāju reģistra likumā" (24-TA-482).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ir tieši saistīts ar likumprojektu "Grozījumi Vēlētāju reģistra likumā" (24-TA-482). Likumprojekts ir virzāms vienā likumprojektu paketē ar šādiem likumprojektiem: "Grozījumi Pašvaldības domes vēlēšanu likumā" (24-TA-494), "Grozījumi Saeimas vēlēšanu likumā" (24-TA-497), "Grozījumi Eiropas Parlamenta vēlēšanu likumā" (24-TA-498), "Grozījumi Vēlētāju reģistra likumā" (24-TA-482).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4.2.punktā norādīt, kuri likumprojekti virzāmi vienotā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4.2.apakšpunkts, norādot, ka likumprojekts ir virzāms vienā likumprojektu paketē ar šādiem likumprojektiem: "Grozījumi Pašvaldības domes vēlēšanu likumā" (24-TA-494), "Grozījumi Saeimas vēlēšanu likumā" (24-TA-497), "Grozījumi Eiropas Parlamenta vēlēšanu likumā" (24-TA-498), "Grozījumi Vēlētāju reģistra likumā" (24-TA-482).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izpildē iesaistīto institūciju uzskaitījumu ar Tiesu administrāciju, pašvaldībām, vēlēšanu komisijām.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24-TA-500</w:t>
    </w:r>
    <w:r>
      <w:br/>
    </w:r>
    <w:r w:rsidR="00000000" w:rsidRPr="00000000" w:rsidDel="00000000">
      <w:rPr>
        <w:rtl w:val="0"/>
      </w:rPr>
      <w:t xml:space="preserve">29.05.2024. 21.39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24-TA-500</w:t>
    </w:r>
    <w:r>
      <w:br/>
    </w:r>
    <w:r w:rsidR="00000000" w:rsidRPr="00000000" w:rsidDel="00000000">
      <w:rPr>
        <w:rtl w:val="0"/>
      </w:rPr>
      <w:t xml:space="preserve">29.05.2024. 21.39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Izziņa_24-TA-500.docx</dc:title>
</cp:coreProperties>
</file>

<file path=docProps/custom.xml><?xml version="1.0" encoding="utf-8"?>
<Properties xmlns="http://schemas.openxmlformats.org/officeDocument/2006/custom-properties" xmlns:vt="http://schemas.openxmlformats.org/officeDocument/2006/docPropsVTypes"/>
</file>