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līdzfinansējuma nodrošināšanu projekta SKILLS4DECA ieviešanai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projekta ietvaros tiks sniegtas arī tālākizglītības un mūžizglītības iespējas gan speciālistiem, gan sabiedrībai kopumā, veidojot kursus  pasniegšanai SKILLS4DECA virtuālā mācību vidē, kura tiks izvietota īpašā projekta laikā radītā platformā, tā tiks uzturēta arī pēc projekta beigām, un būs pieejama kā atsevišķi tālākizglītības kursi un moduļi gan projekta īstenošanas laikā, gan pēc projekta noslēguma. Skaidrojam, ka, ievērojot to komerciālo raksturu, darbības tālākizglītības un mūžizglītības jomā nav uzskatāmas par tādām, kas atbilst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28.punktā norādītajam, ka valsts izglītības sistēmas ietvaros nodrošināta valsts izglītība, ko finansē un uzrauga valsts, var tikt uzskatīta par nesaimniecisko darbību. Līdz ar to, lūdzam papildināt informatīvo ziņojumu, saskaņā ar kādu komercdarbības atbalsta regulējumu, tiks piešķirti publiskie līdzekļi RTU, lai tā projekta ietvaros nodrošinātu tālākizglītības un mūžizglītības iespējas, kā arī papildināt ar informāciju, vai šādu darbību veikšana projektā ir atbilstoša MKN 421 28.4.apakšpunktam.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izskaidrojot, ka projektā nav plānotas darbības, kurām būtu saimniecisks raksturs. Projekta rezultātu ilgtspējas nodrošināšanai tiek plānota moduļu satura pieejas digitālā “platforma” – virtuālā mācību vide, kā atvērts resursu avots, kas nodrošina tālākizglītības iespējas ilgtermiņā. Šī aktivitātes mērķis ir veicināt sabiedrības un speciālistu izglītošanu digitālo prasmju un kompetenču jomā, tādējādi atbalstot valsts un ES prioritātes mūžizglītībā un digitālajā transformācijā. Izstrādātie kursi un to moduļi tiks piedāvāti atklātā veidā (open course), un tie būs pieejami visiem interesentiem bez maksas. Tā kā piekļuve saturam (moduļiem un tajos ietirpstošajiem kursiem) interesentiem tiks nodrošināta bez maksas un diskriminācijas, tad atbilstoši  Eiropas Komisijas paziņojuma par Līguma par Eiropas Savienības darbību 107. panta 1. punktā minēto valsts atbalsta jēdzienu (OV, 2016/C 262/1) 28.punktam šīm projekta aktivitātēm nav saimnieciska rakstura. Projekta galvenā mērķa grupa ir augstskolās studējošie izglītības tematiskajā grupā “Inženierzinātnes, ražošana un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ka, lai varētu piemērot </w:t>
            </w:r>
            <w:r w:rsidR="00000000" w:rsidRPr="00000000" w:rsidDel="00000000">
              <w:rPr>
                <w:i w:val="1"/>
                <w:rtl w:val="0"/>
              </w:rPr>
              <w:t xml:space="preserve">Ministru kabineta 2018.gada 17.jūlija noteikumu Nr.421 "Kārtība, kādā veic gadskārtējā valsts budžeta likumā noteiktās apropriācijas izmaiņas"</w:t>
            </w:r>
            <w:r w:rsidR="00000000" w:rsidRPr="00000000" w:rsidDel="00000000">
              <w:rPr>
                <w:rtl w:val="0"/>
              </w:rPr>
              <w:t xml:space="preserve"> (turpmāk – MKN 421) 24.8.apakšpunktu, pirms publisko līdzekļu piešķiršanas projekta īstenošanai ir jāpārliecinās, ka vienlaikus izpildās visi MKN 421 24.8.apakšpunktā minētie nosacījumi. Līdz ar to, lūdzam precizēt informatīvā ziņojuma 9.lpp. minēto informāciju, to papildinot arī ar izvērtējumu par MKN 421 24.8.1. un 24.8.2.apakšpunkta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MKN 421 28.4.1.apakšpunkta kontekstā skaidrojam, ka, lai būtu iespējams piemērot </w:t>
            </w:r>
            <w:r w:rsidR="00000000" w:rsidRPr="00000000" w:rsidDel="00000000">
              <w:rPr>
                <w:i w:val="1"/>
                <w:rtl w:val="0"/>
              </w:rPr>
              <w:t xml:space="preserve">Komisijas paziņojuma "Pētniecībai, izstrādei un inovācijai piešķiramā valsts atbalsta nostādnes" (Eiropas Savienības Oficiālais Vēstnesis, 2022. gada 28. oktobris, Nr. C414)</w:t>
            </w:r>
            <w:r w:rsidR="00000000" w:rsidRPr="00000000" w:rsidDel="00000000">
              <w:rPr>
                <w:rtl w:val="0"/>
              </w:rPr>
              <w:t xml:space="preserve"> (turpmāk – Pētniecības nostādnes) 20.punktu, vispirms ir nepieciešams pamatot, ka publisko līdzekļu saņēmējs ir kvalificējams kā pētniecības organizācija atbilstoši Pētniecības nostādnes 16.punkta ff) apakšpunktā noteiktajam. Līdz ar to ar attiecīgu izvērtējumu lūdzam papildināt informatīvo ziņojumu. Papildus vēršam uzmanību, ka, lai pamatotu pētniecības organizācijas atbilstību Pētniecības nostādņu 16.punkta ff) apakšpunktā definētajam, Izglītības un zinātnes ministrijai ir jākonstatē, ka subjekta galvenais mērķis ir pētniecība (skat. Eiropas Savienības Tiesas sprieduma apvienotajās lietās Nr.C-164/21 un C-318/21 45. punktā noteikto, ka “</w:t>
            </w:r>
            <w:r w:rsidR="00000000" w:rsidRPr="00000000" w:rsidDel="00000000">
              <w:rPr>
                <w:i w:val="1"/>
                <w:u w:val="single"/>
                <w:rtl w:val="0"/>
              </w:rPr>
              <w:t xml:space="preserve">centrālais kritērijs, lai subjektu kvalificētu par pētniecības un zināšanu izplatīšanas organizāciju, ir tā galvenais mērķis,</w:t>
            </w:r>
            <w:r w:rsidR="00000000" w:rsidRPr="00000000" w:rsidDel="00000000">
              <w:rPr>
                <w:i w:val="1"/>
                <w:rtl w:val="0"/>
              </w:rPr>
              <w:t xml:space="preserve"> proti, vai nu mērķis neatkarīgi veikt fundamentālos pētījumus, rūpnieciskos pētījumus vai eksperimentālo izstrādi, vai arī mērķis plaši izplatīt šādu darbību rezultātus mācību, publikāciju vai zināšanu pārneses veidā”</w:t>
            </w:r>
            <w:r w:rsidR="00000000" w:rsidRPr="00000000" w:rsidDel="00000000">
              <w:rPr>
                <w:rtl w:val="0"/>
              </w:rPr>
              <w:t xml:space="preserve">). Attiecīgi informatīvajā ziņojumā iekļautā informācija, ka “</w:t>
            </w:r>
            <w:r w:rsidR="00000000" w:rsidRPr="00000000" w:rsidDel="00000000">
              <w:rPr>
                <w:i w:val="1"/>
                <w:rtl w:val="0"/>
              </w:rPr>
              <w:t xml:space="preserve">Saskaņā ar projekta iesnieguma pielikumā pievienoto EKK apgrozījuma atskaiti par 2021.-2023. izdevumi ir skaidri konstatējams, ka viennozīmīgi dominē nesaimnieciskā pamatdarbība.</w:t>
            </w:r>
            <w:r w:rsidR="00000000" w:rsidRPr="00000000" w:rsidDel="00000000">
              <w:rPr>
                <w:rtl w:val="0"/>
              </w:rPr>
              <w:t xml:space="preserve">” nav pietiekama šī izvērtējuma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informatīvā ziņojuma 9.lpp. ir norādīts, ka RTU veic nesaimniecisko pamatdarbību, tai skaitā izglītības jomā (studiju process – kas tiek nodrošināta valsts izglītības sistēmas ietvaros un kas galvenokārt vai pilnībā ir valsts finansēta un uzraudzīta). Lūdzam papildināt informatīvo ziņojumu ar informāciju, vai RTU sniegtie pakalpojumi valsts izglītības sistēmas ietvaros galvenokārt tiek finansēti no publiskajiem līdzekļiem, norādot statistisko informāciju par 2023. un 2024.gadu, lai pamatotu informatīvajā ziņojumā iekļauto apgalvojumu.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to, ka IZM ir izvērtējusi gan Rīgas Tehniskās universitātes (turpmāk - RTU), gan Latvijas Universitātes Cietvielu Fizikas institūta (turpmāk - LU CFI) atbilstību pētniecības organizācijas statusam. IZM šadu izvērtēšanu veic atbilstoši metodikai “Metodika atbilstības pētniecības un zināšanu izplatīšanas organizācijas noteikšanai”, kas apstiprināta ar IZM 2024. gada 1.augusta rīkojumu Nr. 1-2e/24/229 “Par Metodikas atbilstības pētniecības un zināšanu izplatīšanas organizācijai noteikšanai apstiprināšanu” (turpmāk – Metodika). Ņemot vērā Ministru kabineta 2017. gada 27. jūnija noteikumu Nr. 381 “Nacionālās zinātniskās darbības informācijas sistēmas noteikumi” (turpmāk – MK noteikumi Nr. 381) 11.3. apakšpunktā, 11.¹ un 34.1 punktā noteikto, zinātniskās institūcijas iesniedz līdz kārtējā gada 1. aprīlim zinātniskās darbības pārskatu, un tajā ietveramās ziņas par iepriekšējo kalendāra gadu ir publiski pieejamas Nacionālajā zinātniskās darbības informācijas sistēmā (turpmāk – NZDIS).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darbības galvenais mērķis, kā noteikts RTU Satversmē (kas ir publiski pieejama), it īpaši tās 7. un 9. punktā, ir īstenot neatkarīgu pētniecību un izglītību. RTU īsteno studiju programmas valsts izglītības sistēmas ietvaros. Projekta ietvaros tiks uzlabotas studiju programmas  izglītības tematiskajā grupā “Inženierzinātnes, ražošana un būvniecība”, kas ir valsts uzraudzītas (akreditētas) un kas galvenokārt vai pilnībā ir valsts finansētas. Informatīvais ziņojums ir papildināts ar informāciju par RTU studējošajiem izglītības tematiskajā grupā “Inženierzinātnes, ražošana un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 CFI galvenais mērķis, kā noteikts LU CFI Nolikumā (kas ir publiski pieejams), it īpaši tā 1.3., 2.1.1. un 2.1.2. punktā, ir teorētisku un praktisku pētījumu īstenošana cietvielu fizikā, materiālzinātnē. LU CFI sniegs ieguldījumu studiju programmu uzlabošanā RTU izglītības tematiskajā grupā “Inženierzinātnes, ražošana un būvniecība” atbilstoši savai zinātniskajai ekspertīzei.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Metodikā noteiktajam zinātniskās institūcijas iesniedz IZM "Apliecinājumu par atbilstību pētniecības un zināšanu izplatīšanas organizācijai" (turpmāk - Apliecinājums), kurā ietver informāciju par savu faktisko darbību (Apliecinājuma sadaļa "Galvenā mērķa jeb pamatdarbības faktiskā izpilde jeb aktīva darbība" un "Zinātniskā kapacitāte"), kas apliecina, ka tās darbojas atbilstoši savam galvenajam mērķim. Šī informācija ir balstīta uz NZIDIS datiem, tā ir publiski pieejama un nemainās laika posmā no kārtējā gada 1.jūlija līdz nākamā gada 30.jūnijam (ieskaitot).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2.sadaļā “Informācija par projektu SKILLS4DECA” iekļauto informāciju, ka virtuālā mācību vide, kura tiks izvietota īpašā projekta laikā radītā platformā, tiks uzturēta arī pēc projekta beigām un būs pieejama kā atsevišķi tālākizglītības kursi un moduļi gan projekta īstenošanas laikā, gan pēc projekta noslēguma, lūdzam papildināt minēto sadaļu ar informāciju, kā Rīgas Tehniskā universitāte plāno to nodrošināt, norādot potenciālo finansējuma apmēru un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(2.lp.) ir papildināts ar jaunu informāciju: "RTU nodrošinās projekta ietvaros  izveidotās  “platformas” – virtuālās  mācību vides funkcionalitāti un pieejamību arī pēc  projekta noslēguma, izmantojot RTU infrastruktūru un resursus tās uzturēšanai. Gan infrastruktūra, gan administratīvā personāla uzturēšanas izmaksas jau ir iekļautas RTU pamatdarbības budžetā, tādēļ papildu ārējs finansējums platformas darbības nodrošināšanai pēc projekta beigām nebūs nepieciešams. Platforma tiks izvietota un darbosies uz RTU rīcībā esošajiem serveriem un informācijas tehnoloģiju (IT) infrastruktūras, kas tiek uzturēta centralizēti universitātes ietvaros. RTU personāls nodrošinās tehnisko platformas uzturēšanu un datu drošību kā daļu no regulārajām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salāgot informāciju informatīvā ziņojuma projekta 1. tabulā “Projekta SKILLS4DECA  izmaksu sadalījums (euro), atbilstoši granta līguma Nr.: 101123311, 2.pielikumam, ar decimālskaitli” un 2.tabulā “Projekta SKILLS4DECA izmaksu sadalījums pa gadiem (euro), noapaļots pilnos euro”, norādot finansējumu pilnos euro. Tāpat lūdzam pievienot detalizētus aprēķinus visām 2.tabulā norādītajām izmaksu pozīcijām, kā arī matemātiski precizēt zem 2.tabulas norādīto personāla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līdzfinansējuma piešķiršanu Rīgas Tehniskajai universitātei 810 579 euro apmērā projekta SKILLS4DECA īstenošanai no 2025.gada līdz 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2.punktu, izsakot to piedāvātajā redakcijā, t.sk., norādot sadalījumu pa finansējuma avotiem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pārskaitīšanai Rīgas Tehniskajai universitātei,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SKILLS4DECA īstenošanai 2025.-2028.gadam kopā 1 621 158 euro apmērā, t.sk. Eiropas Savienības finansējums 810 579 EUR un valsts budžeta līdzfinansējums 810 579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SKILLS4DECA īstenošanai 2025.-2028.gadam kopā 1 950 096 euro apmērā, t.sk. Eiropas Savienības finansējums 975 048 euro un valsts budžeta līdzfinansējums 975 048 euro, no 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Tehniskajai universitātei 1 621 157 euro, t.sk. Eiropas Savienības finansējums 810 579 euro un valsts budžeta finansējums 810 578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Cietvielu fizikas institūtam 328 939 euro, t.sk. Eiropas Savienības finansējums 164 469 euro un valsts budžeta finansējums 164 470 euro.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Izglītības un zinātnes ministrijas valsts budžeta apakšprogrammu 70.06.00 “Dalība Eiropas Savienības pētniecības un tehnoloģiju attīstības programmās” Rīgas Tehniskajai universitātei Eiropas Savienības programmas “Digitālā Eiropa” projekta SKILLS4DECA īstenošanai 810 579 euro apmērā, no tā  2025.gadā 405 289 euro, 2026.gadā – 162 116 euro, 2027.gadā – 162 116 euro un 2028.gadā – 81 058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3.punktu,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SKILLS4DECA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minēto valsts budžeta līdzfinansējumu Eiropas Savienības programmas “Digitālā Eiropa” projekta SKILLS4DECA īstenošanai,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70.06.00. "Dalība Eiropas Savienības pētniecības un tehnoloģiju attīstības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matemātiskās neprecizitātes informatīvā ziņojuma 3.sadaļas “Projekta SKILLS4DECA budžets” tabulā Nr.3 “Projekta SKILLS4DECA Latvijas Universitātes Cietvielu fizikas institūta izmaksu sadalījums pa gadiem (euro)”, noapaļots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informatīvo ziņojumu, nodrošinot korektas atsauces uz nacionālajiem tiesību aktiem. Piemēram, ievērojot Ministru kabineta 2009.gada 3.februāra noteikumu Nr.108 "Normatīvo aktu projektu sagatavošanas noteikumi" 3.7. apakšnodaļas nosacījumus un formulējot atsauces, ievērojot šādu atsauču formu: Ministru kabineta 2021. gada 14. aprīļa rīkojums Nr. 246 "Par Zinātnes, tehnoloģijas attīstības un inovācijas pamatnostādnēm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informatīvā ziņojuma skaidrojumus par Rīgas Tehniskās universitātes izveidoto projektu uzraudzības padomi, norādot konkrētāku informāciju, piemēram, par to, saskaņā ar kādiem normatīvajiem aktiem padome darbojas, kas tajā ietilpst, kāds ir tās kontroles mehānisms u.tml. informāciju, kas nodrošinātu informatīvā ziņojuma adresātiem izvērstāku, pilnīgāku izpratni par padomes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 lp. papildināts ar informāciju: "RTU ir izveidota Projektu uzraudzības padome (turpmāk – Padome). Padome ir izveidota ar 12.07.2023 RTU rīkojumu un tās sastāvā ir septiņi locekļi – rektors, prorektori, administratīvais direktors un Projektu atbalsta departamenta direktors. Padomes uzdevumus, tiesības un pienākumus  nosaka 14.02.2025 apstiprināts nolikums. Padome ir RTU koleģiāla koordinējošā institūcija, kuras darbības mērķis ir veikt projektu risku uzraudzību to sagatavošanas, īstenošanas un pēcuzraudzības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informatīvā ziņojuma zemsvītras piezīmes un nodrošināt to korektumu. Piemēram, 1.lp pēc 2. zemsvītras piezīmes paredzēta vēl viena, kura nav numurēta un attiecināta uz konkrētu teksta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lietojumu.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 saprotams gan saiklis „un”, gan saiklis „vai”. Attiecīgi, lietojot simbolu "/" nav skaidrs, kurš saiklis ar to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informatīvā ziņojuma daļu "IZM aicina Ministru kabinetu:" salīdzinājumā ar Ministru kabineta sēdes protokollēmuma projektu, nodrošinot savstarpēji salāgotas redakcijas. Piemēram, atbilstoši informatīvajam ziņojumam Rīgas Tehniskajai universitātei plānotais valsts budžeta līdzfinansējuma apmērs ir 810 578 euro, bet atbilstoši Ministru kabineta protokollēmuma projektam 810 579 euro. Savukārt Latvijas Universitātes Cietvielu fizikas institūtam plānotais valsts budžeta līdzfinansējums Ministru kabineta sēdes protokollēmuma projektā, atšķirībā no informatīvā ziņojuma, nav norādīts.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daļa "IZM aicina Ministru kabinetu:" ir saskaņota ar Ministru kabineta protokollēmuma tekstu.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Izglītības un zinātnes ministrijas uzmanību, ka Pētniecības nostādnēs ir noteikts, ka pētniecības organizācijas var veikt gan saimnieciskas darbības, gan darbības, kam nav saimnieciska rakstura. Attiecīgi lūdzam precizēt informatīvajā ziņojumā lietot terminoloģiju (piemēram, informatīvā ziņojuma 10.lpp. lietoto terminu “saimnieciska pamatdarbība”) atbilstoši Pētniecības nostādnēs lietotajai.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9.lpp minēto Vides aizsardzības un reģionālās attīstības ministrijas nosaukumu, aizstājot to ar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formulējuma "un/vai" lietojumu.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ar simbolu „/” saprotams gan saiklis „un”, gan saiklis „vai”. Attiecīgi, lietojot simbolu "/" nav skaidrs, kurš saiklis ar to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vienlaicīgi lietotajiem saīsinājumiem "Projekts SKILLS4DECA", "SKILLS4DECA projekts", "SKILLS4DECA", "projekts", saīsinājumiem "ISCED", "BIM", terminu "Eiropas Savienība" un tā saīsinājumu "ES", terminu "Izglītības un zinātnes ministrija" un saīsinājumu "IZM"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lūdzam lietot skaidrus, korektus un viennozīmīgus formulējumus. Piemēram, tiek lietots skaidrojums "3 Baltijas universitātes", no kura uzreiz nav saprotams, kuras universitātes ar to domājamas. Tāpat, pamatojoties uz Ministru kabineta 2024. gada 3. septembra noteikumiem Nr. 586 "Viedās administrācijas un reģionālās attīstības ministrijas nolikums" lietojams nosaukums "Viedās administrācijas un reģionālās attīstības ministrija" nevis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Ministru Kabineta sēdes protokollēmuma projekta 2.punktā iesakām lietot formulējumu "atļaut" nevis "atbalstīt", ņemot vērā, ka tieši "atļaut" saprotams kā tieša un konkrēta atļaujas došana, tiesību piešķiršana kaut ko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līdzfinansējuma nodrošināšanu projekta SKILLS4DECA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sēdes protokollēmuma projekta nosaukumu, nedublējot daļu "</w:t>
            </w:r>
            <w:r w:rsidR="00000000" w:rsidRPr="00000000" w:rsidDel="00000000">
              <w:rPr>
                <w:i w:val="1"/>
                <w:rtl w:val="0"/>
              </w:rPr>
              <w:t xml:space="preserve">Informatīvais ziņojums "Informatīvais ziņojums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līdzfinansējuma nodrošināšanu projekta SKILLS4DECA ieviešanai"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Atļaut Izglītības un zinātnes ministrijai  uzņemties jaunas valsts budžeta ilgtermiņa saistības, pārskaitīšanai Rīgas Tehniskajai universitātei un Latvijas Universitātes Cietvielu fizikas institūtam,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SKILLS4DECA īstenošanai 2025.-2028.gadam kopā 1 621 158 euro apmērā, t.sk. Eiropas Savienības finansējums 810 579 euro un valsts budžeta līdzfinansējums 810 579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2.punktā minēto Eiropas Savienības programmas “Digitālā Eiropa” projekta SKILLS4DECA īstenošanai paredzēto finansējuma apmēru atbilstoši informatīvajā ziņojumā iekļautajai informācijai, uzrādot arī Latvijas Universitātes Cietvielu fizikas institūtam nepieciešamo finansējumu kopā un sadalījumā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SKILLS4DECA īstenošanai 2025.-2028.gadam kopā 1 950 096 euro apmērā, t.sk. Eiropas Savienības finansējums 975 048 euro un valsts budžeta līdzfinansējums 975 048 euro, no 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Rīgas Tehniskajai universitātei 1 621 157 euro, t.sk. Eiropas Savienības finansējums 810 579 euro un valsts budžeta finansējums 810 578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Latvijas Universitātes Cietvielu fizikas institūtam 328 939 euro, t.sk. Eiropas Savienības finansējums 164 469 euro un valsts budžeta finansējums 164 470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Izglītības un zinātnes ministrijas valsts budžeta programmas 70.00.00 "Citu Eiropas Savienības politiku instrumentu projektu un pasākumu īstenošana" apakšprogrammā 70.06.00 "Dalība Eiropas Savienības pētniecības un tehnoloģiju attīstības programmās" Eiropas Savienības programmas “Digitālā Eiropa” projekta SKILLS4DECA īstenošanai 2025.-2028.gadam kopā 1 950 096 euro apmērā, t.sk. Eiropas Savienības finansējums 975 048 euro un valsts budžeta līdzfinansējums 975 048 euro, no 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Tehniskajai universitātei 1 621 157 euro, t.sk. Eiropas Savienības finansējums 810 579 euro un valsts budžeta finansējums 810 578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Cietvielu fizikas institūtam 328 939 euro, t.sk. Eiropas Savienības finansējums 164 469 euro un valsts budžeta finansējums 164 470 euro.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24-TA-2806</w:t>
    </w:r>
    <w:r>
      <w:br/>
    </w:r>
    <w:r w:rsidR="00000000" w:rsidRPr="00000000" w:rsidDel="00000000">
      <w:rPr>
        <w:rtl w:val="0"/>
      </w:rPr>
      <w:t xml:space="preserve">26.03.2025. 15.58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24-TA-2806</w:t>
    </w:r>
    <w:r>
      <w:br/>
    </w:r>
    <w:r w:rsidR="00000000" w:rsidRPr="00000000" w:rsidDel="00000000">
      <w:rPr>
        <w:rtl w:val="0"/>
      </w:rPr>
      <w:t xml:space="preserve">26.03.2025. 15.58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Izziņa_24-TA-2806.docx</dc:title>
</cp:coreProperties>
</file>

<file path=docProps/custom.xml><?xml version="1.0" encoding="utf-8"?>
<Properties xmlns="http://schemas.openxmlformats.org/officeDocument/2006/custom-properties" xmlns:vt="http://schemas.openxmlformats.org/officeDocument/2006/docPropsVTypes"/>
</file>