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56C29" w14:textId="77777777" w:rsidR="00786DAF" w:rsidRDefault="00786DAF" w:rsidP="002C22B9">
      <w:pPr>
        <w:jc w:val="center"/>
        <w:rPr>
          <w:sz w:val="20"/>
        </w:rPr>
      </w:pPr>
      <w:bookmarkStart w:id="0" w:name="_GoBack"/>
      <w:bookmarkEnd w:id="0"/>
    </w:p>
    <w:p w14:paraId="51F33530" w14:textId="77777777" w:rsidR="002C22B9" w:rsidRDefault="002C22B9" w:rsidP="002C22B9">
      <w:pPr>
        <w:jc w:val="center"/>
        <w:rPr>
          <w:sz w:val="20"/>
        </w:rPr>
      </w:pPr>
      <w:r w:rsidRPr="00914649">
        <w:rPr>
          <w:sz w:val="20"/>
        </w:rPr>
        <w:t>Rīgā</w:t>
      </w:r>
    </w:p>
    <w:p w14:paraId="7A4C5989"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0F454962" w14:textId="77777777" w:rsidTr="009F77B9">
        <w:tc>
          <w:tcPr>
            <w:tcW w:w="450" w:type="dxa"/>
            <w:tcBorders>
              <w:top w:val="nil"/>
              <w:left w:val="nil"/>
              <w:bottom w:val="nil"/>
              <w:right w:val="nil"/>
            </w:tcBorders>
          </w:tcPr>
          <w:p w14:paraId="5E13DA93"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3AB51258" w14:textId="1B0A37AD"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21CA0">
              <w:rPr>
                <w:szCs w:val="24"/>
              </w:rPr>
              <w:t>30.01.2021</w:t>
            </w:r>
            <w:r w:rsidRPr="00615936">
              <w:rPr>
                <w:szCs w:val="24"/>
              </w:rPr>
              <w:fldChar w:fldCharType="end"/>
            </w:r>
            <w:bookmarkEnd w:id="1"/>
          </w:p>
        </w:tc>
        <w:tc>
          <w:tcPr>
            <w:tcW w:w="708" w:type="dxa"/>
            <w:tcBorders>
              <w:top w:val="nil"/>
              <w:left w:val="nil"/>
              <w:bottom w:val="nil"/>
              <w:right w:val="nil"/>
            </w:tcBorders>
          </w:tcPr>
          <w:p w14:paraId="4F8D84BF"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032A77DF" w14:textId="6B4D69E2"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C4CA6">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21CA0">
              <w:rPr>
                <w:szCs w:val="24"/>
              </w:rPr>
              <w:t>529</w:t>
            </w:r>
            <w:r w:rsidRPr="00615936">
              <w:rPr>
                <w:szCs w:val="24"/>
              </w:rPr>
              <w:fldChar w:fldCharType="end"/>
            </w:r>
            <w:bookmarkEnd w:id="3"/>
          </w:p>
        </w:tc>
      </w:tr>
      <w:tr w:rsidR="002C22B9" w:rsidRPr="00615936" w14:paraId="132600FC" w14:textId="77777777" w:rsidTr="009F77B9">
        <w:trPr>
          <w:trHeight w:val="188"/>
        </w:trPr>
        <w:tc>
          <w:tcPr>
            <w:tcW w:w="450" w:type="dxa"/>
            <w:tcBorders>
              <w:top w:val="nil"/>
              <w:left w:val="nil"/>
              <w:bottom w:val="nil"/>
              <w:right w:val="nil"/>
            </w:tcBorders>
          </w:tcPr>
          <w:p w14:paraId="701CDDE3"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E794188"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CD3BFD2"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272A4B8" w14:textId="77777777" w:rsidR="002C22B9" w:rsidRPr="00615936" w:rsidRDefault="002C22B9" w:rsidP="002C22B9">
            <w:pPr>
              <w:tabs>
                <w:tab w:val="left" w:pos="360"/>
                <w:tab w:val="left" w:pos="3960"/>
              </w:tabs>
              <w:rPr>
                <w:sz w:val="20"/>
              </w:rPr>
            </w:pPr>
          </w:p>
        </w:tc>
      </w:tr>
      <w:tr w:rsidR="002C22B9" w:rsidRPr="00615936" w14:paraId="079626A5" w14:textId="77777777" w:rsidTr="009F77B9">
        <w:tc>
          <w:tcPr>
            <w:tcW w:w="450" w:type="dxa"/>
            <w:tcBorders>
              <w:top w:val="nil"/>
              <w:left w:val="nil"/>
              <w:bottom w:val="nil"/>
              <w:right w:val="nil"/>
            </w:tcBorders>
          </w:tcPr>
          <w:p w14:paraId="34008ABB"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13D6F0D8" w14:textId="79186489"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C4CA6">
              <w:rPr>
                <w:szCs w:val="24"/>
              </w:rPr>
              <w:t>14.01.2021</w:t>
            </w:r>
            <w:r w:rsidRPr="00615936">
              <w:rPr>
                <w:szCs w:val="24"/>
              </w:rPr>
              <w:fldChar w:fldCharType="end"/>
            </w:r>
            <w:bookmarkEnd w:id="4"/>
          </w:p>
        </w:tc>
        <w:tc>
          <w:tcPr>
            <w:tcW w:w="708" w:type="dxa"/>
            <w:tcBorders>
              <w:top w:val="nil"/>
              <w:left w:val="nil"/>
              <w:bottom w:val="nil"/>
              <w:right w:val="nil"/>
            </w:tcBorders>
          </w:tcPr>
          <w:p w14:paraId="37E237D4"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7C84A40B" w14:textId="23BE0843"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C4CA6">
              <w:rPr>
                <w:szCs w:val="24"/>
              </w:rPr>
              <w:t>VSS-38, 2  11§</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3108B032" w14:textId="77777777" w:rsidTr="000C0DD4">
        <w:trPr>
          <w:jc w:val="right"/>
        </w:trPr>
        <w:tc>
          <w:tcPr>
            <w:tcW w:w="4644" w:type="dxa"/>
          </w:tcPr>
          <w:p w14:paraId="26554A1B" w14:textId="676014BD" w:rsidR="000C0DD4" w:rsidRDefault="009C4CA6" w:rsidP="000C0DD4">
            <w:pPr>
              <w:jc w:val="right"/>
              <w:rPr>
                <w:b/>
                <w:bCs/>
                <w:szCs w:val="24"/>
                <w:lang w:eastAsia="lv-LV"/>
              </w:rPr>
            </w:pPr>
            <w:bookmarkStart w:id="6" w:name="org_nos"/>
            <w:r>
              <w:rPr>
                <w:b/>
                <w:bCs/>
                <w:szCs w:val="24"/>
                <w:lang w:eastAsia="lv-LV"/>
              </w:rPr>
              <w:t>Ekonomikas ministrija</w:t>
            </w:r>
            <w:r w:rsidR="00502250">
              <w:rPr>
                <w:b/>
                <w:bCs/>
                <w:szCs w:val="24"/>
                <w:lang w:eastAsia="lv-LV"/>
              </w:rPr>
              <w:t>i</w:t>
            </w:r>
          </w:p>
        </w:tc>
      </w:tr>
      <w:bookmarkEnd w:id="6"/>
    </w:tbl>
    <w:p w14:paraId="355C4575"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74D6C260" w14:textId="77777777" w:rsidTr="000C0DD4">
        <w:tc>
          <w:tcPr>
            <w:tcW w:w="4503" w:type="dxa"/>
            <w:tcBorders>
              <w:top w:val="nil"/>
              <w:left w:val="nil"/>
              <w:bottom w:val="nil"/>
              <w:right w:val="nil"/>
            </w:tcBorders>
          </w:tcPr>
          <w:p w14:paraId="4CF92183" w14:textId="77777777" w:rsidR="000C0DD4" w:rsidRDefault="009C4CA6" w:rsidP="00C04DED">
            <w:pPr>
              <w:jc w:val="left"/>
              <w:rPr>
                <w:i/>
                <w:iCs/>
                <w:szCs w:val="24"/>
                <w:lang w:eastAsia="lv-LV"/>
              </w:rPr>
            </w:pPr>
            <w:r>
              <w:rPr>
                <w:i/>
                <w:iCs/>
                <w:szCs w:val="24"/>
                <w:lang w:eastAsia="lv-LV"/>
              </w:rPr>
              <w:t>Par noteikumu projektu "Grozījumi Ministru kabineta 2020.gada 2.septembra noteikumos Nr.560 "Noteikumi par elektroenerģijas ražošanu, izmantojot atjaunojamos energoresursus, kā arī par cenu noteikšanas kārtību un uzraudzību" VSS-38</w:t>
            </w:r>
          </w:p>
          <w:p w14:paraId="43C7E9C5" w14:textId="77777777" w:rsidR="00502250" w:rsidRDefault="00502250" w:rsidP="00C04DED">
            <w:pPr>
              <w:jc w:val="left"/>
              <w:rPr>
                <w:i/>
                <w:iCs/>
                <w:szCs w:val="24"/>
                <w:lang w:eastAsia="lv-LV"/>
              </w:rPr>
            </w:pPr>
          </w:p>
          <w:p w14:paraId="2FE1646F" w14:textId="0C877609" w:rsidR="00502250" w:rsidRDefault="00502250" w:rsidP="00C04DED">
            <w:pPr>
              <w:jc w:val="left"/>
              <w:rPr>
                <w:i/>
                <w:iCs/>
                <w:szCs w:val="24"/>
                <w:lang w:eastAsia="lv-LV"/>
              </w:rPr>
            </w:pPr>
          </w:p>
        </w:tc>
      </w:tr>
    </w:tbl>
    <w:p w14:paraId="6A41244D" w14:textId="77777777" w:rsidR="00502250" w:rsidRDefault="00502250" w:rsidP="00502250">
      <w:pPr>
        <w:pStyle w:val="tv213"/>
        <w:spacing w:before="0" w:beforeAutospacing="0" w:after="0" w:afterAutospacing="0"/>
        <w:ind w:firstLine="567"/>
        <w:jc w:val="both"/>
        <w:rPr>
          <w:shd w:val="clear" w:color="auto" w:fill="FFFFFF"/>
        </w:rPr>
      </w:pPr>
      <w:r>
        <w:t>Finanšu ministrija atbilstoši kompetencei ir izskatījusi Ekonomikas ministrijas sagatavoto Ministru kabineta noteikumu projektu “Grozījumi Ministru kabineta 2020.gada 2.septembra noteikumos Nr.560 “</w:t>
      </w:r>
      <w:r>
        <w:rPr>
          <w:shd w:val="clear" w:color="auto" w:fill="FFFFFF"/>
        </w:rPr>
        <w:t>Noteikumi par elektroenerģijas ražošanu, izmantojot atjaunojamos energoresursus, kā arī par cenu noteikšanas kārtību un uzraudzību” (turpmāk – noteikumu projekts), tā sākotnējās ietekmes novērtējuma ziņojumu (anotāciju) un izsaka šādus iebildumus.</w:t>
      </w:r>
    </w:p>
    <w:p w14:paraId="601A8B84" w14:textId="77777777" w:rsidR="00502250" w:rsidRDefault="00502250" w:rsidP="00502250">
      <w:pPr>
        <w:pStyle w:val="tv213"/>
        <w:spacing w:before="0" w:beforeAutospacing="0" w:after="0" w:afterAutospacing="0"/>
        <w:ind w:firstLine="567"/>
        <w:jc w:val="both"/>
      </w:pPr>
    </w:p>
    <w:p w14:paraId="75673638" w14:textId="77777777" w:rsidR="00502250" w:rsidRDefault="00502250" w:rsidP="00502250">
      <w:pPr>
        <w:pStyle w:val="ListParagraph"/>
        <w:numPr>
          <w:ilvl w:val="0"/>
          <w:numId w:val="1"/>
        </w:numPr>
        <w:shd w:val="clear" w:color="auto" w:fill="FFFFFF"/>
        <w:tabs>
          <w:tab w:val="left" w:pos="851"/>
        </w:tabs>
        <w:autoSpaceDN w:val="0"/>
        <w:spacing w:after="0" w:line="240" w:lineRule="auto"/>
        <w:ind w:left="0" w:firstLine="567"/>
        <w:jc w:val="both"/>
        <w:textAlignment w:val="baseline"/>
        <w:rPr>
          <w:lang w:eastAsia="lv-LV"/>
        </w:rPr>
      </w:pPr>
      <w:r>
        <w:t xml:space="preserve">Noteikumu projekta </w:t>
      </w:r>
      <w:r>
        <w:rPr>
          <w:lang w:eastAsia="lv-LV"/>
        </w:rPr>
        <w:t xml:space="preserve">3.punkts papildina </w:t>
      </w:r>
      <w:r>
        <w:t>Ministru kabineta 2020.gada 2.septembra noteikumus Nr.560 “</w:t>
      </w:r>
      <w:r>
        <w:rPr>
          <w:shd w:val="clear" w:color="auto" w:fill="FFFFFF"/>
        </w:rPr>
        <w:t>Noteikumi par elektroenerģijas ražošanu, izmantojot atjaunojamos energoresursus, kā arī par cenu noteikšanas kārtību un uzraudzību” (turpmāk – MKN Nr.560)</w:t>
      </w:r>
      <w:r>
        <w:rPr>
          <w:lang w:eastAsia="lv-LV"/>
        </w:rPr>
        <w:t xml:space="preserve"> ar 2.</w:t>
      </w:r>
      <w:r>
        <w:rPr>
          <w:vertAlign w:val="superscript"/>
          <w:lang w:eastAsia="lv-LV"/>
        </w:rPr>
        <w:t>1</w:t>
      </w:r>
      <w:r>
        <w:rPr>
          <w:lang w:eastAsia="lv-LV"/>
        </w:rPr>
        <w:t xml:space="preserve"> punktu nosakot, ka </w:t>
      </w:r>
      <w:r>
        <w:t xml:space="preserve">uz Elektroenerģijas tirgus likuma (turpmāk – ETL) pārejas noteikumu 52.punktā minētajiem elektroenerģijas ražotājiem neattiecas noteikumu projekta </w:t>
      </w:r>
      <w:r>
        <w:rPr>
          <w:shd w:val="clear" w:color="auto" w:fill="FFFFFF"/>
        </w:rPr>
        <w:t xml:space="preserve">II nodaļā, 23.punktā un </w:t>
      </w:r>
      <w:r>
        <w:rPr>
          <w:lang w:eastAsia="lv-LV"/>
        </w:rPr>
        <w:t>V.</w:t>
      </w:r>
      <w:r>
        <w:rPr>
          <w:vertAlign w:val="superscript"/>
          <w:lang w:eastAsia="lv-LV"/>
        </w:rPr>
        <w:t>1</w:t>
      </w:r>
      <w:r>
        <w:rPr>
          <w:lang w:eastAsia="lv-LV"/>
        </w:rPr>
        <w:t xml:space="preserve"> nodaļā noteiktais par </w:t>
      </w:r>
      <w:proofErr w:type="spellStart"/>
      <w:r>
        <w:rPr>
          <w:lang w:eastAsia="lv-LV"/>
        </w:rPr>
        <w:t>pārkompensācijas</w:t>
      </w:r>
      <w:proofErr w:type="spellEnd"/>
      <w:r>
        <w:rPr>
          <w:lang w:eastAsia="lv-LV"/>
        </w:rPr>
        <w:t xml:space="preserve"> izvērtēšanu un novēršanu. </w:t>
      </w:r>
      <w:r>
        <w:t>Vienlaikus vēršam uzmanību, ka ETL 52.</w:t>
      </w:r>
      <w:r>
        <w:rPr>
          <w:vertAlign w:val="superscript"/>
        </w:rPr>
        <w:t>1</w:t>
      </w:r>
      <w:r>
        <w:t> punktā ir noteikts: “</w:t>
      </w:r>
      <w:r>
        <w:rPr>
          <w:i/>
          <w:iCs/>
        </w:rPr>
        <w:t>52.</w:t>
      </w:r>
      <w:r>
        <w:rPr>
          <w:i/>
          <w:iCs/>
          <w:vertAlign w:val="superscript"/>
        </w:rPr>
        <w:t>1</w:t>
      </w:r>
      <w:r>
        <w:rPr>
          <w:i/>
          <w:iCs/>
        </w:rPr>
        <w:t> Uz ražotājiem, kas izmanto šo pārejas noteikumu 52. punktā minētās tiesības, ir attiecināmi šā likuma 29.</w:t>
      </w:r>
      <w:r>
        <w:rPr>
          <w:i/>
          <w:iCs/>
          <w:vertAlign w:val="superscript"/>
        </w:rPr>
        <w:t>2</w:t>
      </w:r>
      <w:r>
        <w:rPr>
          <w:i/>
          <w:iCs/>
        </w:rPr>
        <w:t>, 30.</w:t>
      </w:r>
      <w:r>
        <w:rPr>
          <w:i/>
          <w:iCs/>
          <w:vertAlign w:val="superscript"/>
        </w:rPr>
        <w:t>4</w:t>
      </w:r>
      <w:r>
        <w:rPr>
          <w:i/>
          <w:iCs/>
        </w:rPr>
        <w:t>, 31.</w:t>
      </w:r>
      <w:r>
        <w:rPr>
          <w:i/>
          <w:iCs/>
          <w:vertAlign w:val="superscript"/>
        </w:rPr>
        <w:t>1</w:t>
      </w:r>
      <w:r>
        <w:rPr>
          <w:i/>
          <w:iCs/>
        </w:rPr>
        <w:t> un 31.</w:t>
      </w:r>
      <w:r>
        <w:rPr>
          <w:i/>
          <w:iCs/>
          <w:vertAlign w:val="superscript"/>
        </w:rPr>
        <w:t>2</w:t>
      </w:r>
      <w:r>
        <w:rPr>
          <w:i/>
          <w:iCs/>
        </w:rPr>
        <w:t> panta nosacījumi</w:t>
      </w:r>
      <w:r>
        <w:t>.”, t.sk., uz šiem ražotājiem ir attiecināmi šā likuma  31.</w:t>
      </w:r>
      <w:r>
        <w:rPr>
          <w:vertAlign w:val="superscript"/>
        </w:rPr>
        <w:t>2</w:t>
      </w:r>
      <w:r>
        <w:t xml:space="preserve"> panta nosacījumi, tātad t.sk. tas, ka Birojs organizē arī šo ražotāju darbības uzraudzību un kontroli, </w:t>
      </w:r>
      <w:r>
        <w:rPr>
          <w:u w:val="single"/>
        </w:rPr>
        <w:t xml:space="preserve">nodrošinot </w:t>
      </w:r>
      <w:proofErr w:type="spellStart"/>
      <w:r>
        <w:rPr>
          <w:u w:val="single"/>
        </w:rPr>
        <w:t>pārkompensācijas</w:t>
      </w:r>
      <w:proofErr w:type="spellEnd"/>
      <w:r>
        <w:rPr>
          <w:u w:val="single"/>
        </w:rPr>
        <w:t xml:space="preserve"> novēršanu</w:t>
      </w:r>
      <w:r>
        <w:t xml:space="preserve">, pieņemot lēmumu par valsts atbalsta apturēšanu vai lēmumu par piešķirto tiesību atcelšanu, elektroenerģijas ražotāju nepamatoti </w:t>
      </w:r>
      <w:r>
        <w:rPr>
          <w:u w:val="single"/>
        </w:rPr>
        <w:t>vai nelikumīgi saņemtā valsts atbalsta atgūšanu</w:t>
      </w:r>
      <w:r>
        <w:t xml:space="preserve">. </w:t>
      </w:r>
    </w:p>
    <w:p w14:paraId="1397F86F" w14:textId="77777777" w:rsidR="00502250" w:rsidRDefault="00502250" w:rsidP="00502250">
      <w:pPr>
        <w:pStyle w:val="ListParagraph"/>
        <w:shd w:val="clear" w:color="auto" w:fill="FFFFFF"/>
        <w:autoSpaceDN w:val="0"/>
        <w:spacing w:after="0" w:line="240" w:lineRule="auto"/>
        <w:ind w:left="0" w:firstLine="567"/>
        <w:jc w:val="both"/>
        <w:textAlignment w:val="baseline"/>
        <w:rPr>
          <w:lang w:eastAsia="lv-LV"/>
        </w:rPr>
      </w:pPr>
      <w:r>
        <w:t xml:space="preserve">Ņemot vērā, ka MKN Nr.560 jau ir ietverti nosacījumi, kas attiecināmi uz visiem elektroenerģijas ražotājiem, t.sk. arī uz vēja elektrostacijām (piemēram, 23.2. un 10.punkts), kā arī attiecīgi noteikumu projekta </w:t>
      </w:r>
      <w:r>
        <w:rPr>
          <w:lang w:eastAsia="lv-LV"/>
        </w:rPr>
        <w:t>59.</w:t>
      </w:r>
      <w:r>
        <w:rPr>
          <w:vertAlign w:val="superscript"/>
          <w:lang w:eastAsia="lv-LV"/>
        </w:rPr>
        <w:t>1</w:t>
      </w:r>
      <w:r>
        <w:rPr>
          <w:lang w:eastAsia="lv-LV"/>
        </w:rPr>
        <w:t xml:space="preserve"> punkts cita starpā nosaka, ka Birojs veic aprēķinu par elektrostacijas kopējo kapitālieguldījumu iekšējo peļņas normu visam atbalsta periodam un </w:t>
      </w:r>
      <w:bookmarkStart w:id="7" w:name="p56.2"/>
      <w:bookmarkStart w:id="8" w:name="p-735015"/>
      <w:bookmarkEnd w:id="7"/>
      <w:bookmarkEnd w:id="8"/>
      <w:r>
        <w:rPr>
          <w:lang w:eastAsia="lv-LV"/>
        </w:rPr>
        <w:t xml:space="preserve">nosaka cenas diferencēšanas koeficientu </w:t>
      </w:r>
      <w:proofErr w:type="spellStart"/>
      <w:r>
        <w:rPr>
          <w:lang w:eastAsia="lv-LV"/>
        </w:rPr>
        <w:t>pārkompensācijas</w:t>
      </w:r>
      <w:proofErr w:type="spellEnd"/>
      <w:r>
        <w:rPr>
          <w:lang w:eastAsia="lv-LV"/>
        </w:rPr>
        <w:t xml:space="preserve"> novēršanai, kā arī ņemot vērā to, ka </w:t>
      </w:r>
      <w:proofErr w:type="spellStart"/>
      <w:r>
        <w:rPr>
          <w:lang w:eastAsia="lv-LV"/>
        </w:rPr>
        <w:t>pārkompensācijas</w:t>
      </w:r>
      <w:proofErr w:type="spellEnd"/>
      <w:r>
        <w:rPr>
          <w:lang w:eastAsia="lv-LV"/>
        </w:rPr>
        <w:t xml:space="preserve"> novēršanas mehānisms attiecas arī uz ETL </w:t>
      </w:r>
      <w:r>
        <w:t>pārejas noteikumu 52.punktā</w:t>
      </w:r>
      <w:r>
        <w:rPr>
          <w:lang w:eastAsia="lv-LV"/>
        </w:rPr>
        <w:t xml:space="preserve"> </w:t>
      </w:r>
      <w:r>
        <w:rPr>
          <w:lang w:eastAsia="lv-LV"/>
        </w:rPr>
        <w:lastRenderedPageBreak/>
        <w:t xml:space="preserve">minētajām vēja elektrostacijām saskaņā ar </w:t>
      </w:r>
      <w:r>
        <w:t>Eiropas Komisijas (turpmāk – EK) lēmumu SA.43140</w:t>
      </w:r>
      <w:r>
        <w:rPr>
          <w:rStyle w:val="FootnoteReference"/>
        </w:rPr>
        <w:footnoteReference w:customMarkFollows="1" w:id="1"/>
        <w:t>[1]</w:t>
      </w:r>
      <w:r>
        <w:t xml:space="preserve"> (sk. (16) punktu), lūdzam precizēt atbilstoši noteikumu projekta 3.punktu, kā arī precizēt anotācijā ietverto attiecīgo informāciju.</w:t>
      </w:r>
    </w:p>
    <w:p w14:paraId="482277FD" w14:textId="77777777" w:rsidR="00502250" w:rsidRDefault="00502250" w:rsidP="00502250">
      <w:pPr>
        <w:pStyle w:val="ListParagraph"/>
        <w:numPr>
          <w:ilvl w:val="0"/>
          <w:numId w:val="1"/>
        </w:numPr>
        <w:shd w:val="clear" w:color="auto" w:fill="FFFFFF"/>
        <w:tabs>
          <w:tab w:val="left" w:pos="851"/>
        </w:tabs>
        <w:autoSpaceDN w:val="0"/>
        <w:spacing w:after="0" w:line="240" w:lineRule="auto"/>
        <w:ind w:left="0" w:firstLine="567"/>
        <w:jc w:val="both"/>
        <w:textAlignment w:val="baseline"/>
      </w:pPr>
      <w:r>
        <w:rPr>
          <w:shd w:val="clear" w:color="auto" w:fill="FFFFFF"/>
        </w:rPr>
        <w:t xml:space="preserve">Vēršam uzmanību, ka valsts atbalsta nosacījumi pieļauj darbības atbalstu </w:t>
      </w:r>
      <w:r>
        <w:rPr>
          <w:u w:val="single"/>
          <w:shd w:val="clear" w:color="auto" w:fill="FFFFFF"/>
        </w:rPr>
        <w:t>tikai un vienīgi</w:t>
      </w:r>
      <w:r>
        <w:rPr>
          <w:shd w:val="clear" w:color="auto" w:fill="FFFFFF"/>
        </w:rPr>
        <w:t xml:space="preserve"> </w:t>
      </w:r>
      <w:r>
        <w:t xml:space="preserve">koģenerācijai, ja koģenerācijas iekārta atbilst </w:t>
      </w:r>
      <w:r>
        <w:rPr>
          <w:u w:val="single"/>
        </w:rPr>
        <w:t>augstas efektivitātes koģenerācijas definīcijai, proti, tā</w:t>
      </w:r>
      <w:r>
        <w:rPr>
          <w:shd w:val="clear" w:color="auto" w:fill="FFFFFF"/>
        </w:rPr>
        <w:t xml:space="preserve"> “</w:t>
      </w:r>
      <w:r>
        <w:rPr>
          <w:i/>
          <w:iCs/>
          <w:shd w:val="clear" w:color="auto" w:fill="FFFFFF"/>
        </w:rPr>
        <w:t>ir koģenerācija, kas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w:t>
      </w:r>
      <w:r>
        <w:t>” (sk. Pamatnostādņu (2008)</w:t>
      </w:r>
      <w:r>
        <w:rPr>
          <w:rStyle w:val="FootnoteReference"/>
        </w:rPr>
        <w:footnoteReference w:customMarkFollows="1" w:id="2"/>
        <w:t>[2]</w:t>
      </w:r>
      <w:r>
        <w:t xml:space="preserve"> 107., 109. un 119.punktu, kā arī EK lēmuma SA.43140 70. un 80.punktu). Arī ETL ietver atsauci uz augstāk minēto direktīvu. </w:t>
      </w:r>
    </w:p>
    <w:p w14:paraId="6D62118E" w14:textId="77777777" w:rsidR="00502250" w:rsidRDefault="00502250" w:rsidP="00502250">
      <w:pPr>
        <w:shd w:val="clear" w:color="auto" w:fill="FFFFFF"/>
        <w:autoSpaceDN w:val="0"/>
        <w:ind w:firstLine="567"/>
        <w:textAlignment w:val="baseline"/>
        <w:rPr>
          <w:szCs w:val="24"/>
        </w:rPr>
      </w:pPr>
      <w:r>
        <w:rPr>
          <w:szCs w:val="24"/>
        </w:rPr>
        <w:t xml:space="preserve">Attiecīgi, lai nepieļautu interpretācijas iespējas, veicot atbalsta pasākuma uzraudzību, t.sk. veicot </w:t>
      </w:r>
      <w:proofErr w:type="spellStart"/>
      <w:r>
        <w:rPr>
          <w:szCs w:val="24"/>
        </w:rPr>
        <w:t>pārkompensācijas</w:t>
      </w:r>
      <w:proofErr w:type="spellEnd"/>
      <w:r>
        <w:rPr>
          <w:szCs w:val="24"/>
        </w:rPr>
        <w:t xml:space="preserve"> aprēķinu, lai sniegto atbalstu elektroenerģijas ražotājam kvalificētu kā likumīgu, un gadījumos, kad attiecināms, piemērotu nelikumīga komercdarbības atgūšanas procedūras, lūdzam papildināt </w:t>
      </w:r>
      <w:r>
        <w:rPr>
          <w:szCs w:val="24"/>
          <w:shd w:val="clear" w:color="auto" w:fill="FFFFFF"/>
        </w:rPr>
        <w:t>MKN Nr.560 30.punktu:</w:t>
      </w:r>
    </w:p>
    <w:p w14:paraId="66485CF6" w14:textId="77777777" w:rsidR="00502250" w:rsidRDefault="00502250" w:rsidP="00502250">
      <w:pPr>
        <w:pStyle w:val="ListParagraph"/>
        <w:numPr>
          <w:ilvl w:val="1"/>
          <w:numId w:val="1"/>
        </w:numPr>
        <w:tabs>
          <w:tab w:val="left" w:pos="1134"/>
        </w:tabs>
        <w:spacing w:after="0" w:line="240" w:lineRule="auto"/>
        <w:ind w:left="567" w:firstLine="0"/>
        <w:jc w:val="both"/>
        <w:rPr>
          <w:shd w:val="clear" w:color="auto" w:fill="FFFFFF"/>
        </w:rPr>
      </w:pPr>
      <w:r>
        <w:rPr>
          <w:shd w:val="clear" w:color="auto" w:fill="FFFFFF"/>
        </w:rPr>
        <w:t>skaidri nosakot, ka Publiskais tirgotājs no komersanta, kas elektroenerģiju ražo biogāzes vai biomasas elektrostacijās, iepērk tikai to elektroenerģijas daudzumu, kas atzīstams par saražotu efektīvā koģenerācijā un koģenerācijas iekārta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 Gadījumā, ja šobrīd ir spēkā direktīva vai lēmumi, kas aizstāj iepriekšminētos un nosacījumi neatšķiras, lūdzam dot atsauces uz tiem;</w:t>
      </w:r>
    </w:p>
    <w:p w14:paraId="01232442" w14:textId="77777777" w:rsidR="00502250" w:rsidRDefault="00502250" w:rsidP="00502250">
      <w:pPr>
        <w:pStyle w:val="ListParagraph"/>
        <w:numPr>
          <w:ilvl w:val="1"/>
          <w:numId w:val="1"/>
        </w:numPr>
        <w:shd w:val="clear" w:color="auto" w:fill="FFFFFF"/>
        <w:tabs>
          <w:tab w:val="left" w:pos="1134"/>
        </w:tabs>
        <w:autoSpaceDN w:val="0"/>
        <w:spacing w:after="0" w:line="240" w:lineRule="auto"/>
        <w:ind w:left="567" w:firstLine="0"/>
        <w:jc w:val="both"/>
        <w:textAlignment w:val="baseline"/>
      </w:pPr>
      <w:r>
        <w:rPr>
          <w:shd w:val="clear" w:color="auto" w:fill="FFFFFF"/>
        </w:rPr>
        <w:t>iekļaujot visas prasības, kas izriet no minētajiem EK dokumentiem. Gadījumā, ja kādas no prasībām jau ir iekļautas citos MKN Nr.561 punktos, dot atsauces uz konkrētajiem MKN Nr.561 vai noteikumu projekta punktiem.</w:t>
      </w:r>
    </w:p>
    <w:p w14:paraId="3C32B81E" w14:textId="77777777" w:rsidR="00502250" w:rsidRDefault="00502250" w:rsidP="00502250">
      <w:pPr>
        <w:shd w:val="clear" w:color="auto" w:fill="FFFFFF"/>
        <w:autoSpaceDN w:val="0"/>
        <w:ind w:firstLine="567"/>
        <w:textAlignment w:val="baseline"/>
        <w:rPr>
          <w:szCs w:val="24"/>
        </w:rPr>
      </w:pPr>
      <w:r>
        <w:rPr>
          <w:szCs w:val="24"/>
          <w:shd w:val="clear" w:color="auto" w:fill="FFFFFF"/>
        </w:rPr>
        <w:t xml:space="preserve">Papildus izteiktajiem iebildumiem lūdzam atbilstoši  papildināt anotācijas V sadaļu par noteikumu projekta punktu </w:t>
      </w:r>
      <w:proofErr w:type="spellStart"/>
      <w:r>
        <w:rPr>
          <w:szCs w:val="24"/>
          <w:shd w:val="clear" w:color="auto" w:fill="FFFFFF"/>
        </w:rPr>
        <w:t>izvērtējumu</w:t>
      </w:r>
      <w:proofErr w:type="spellEnd"/>
      <w:r>
        <w:rPr>
          <w:szCs w:val="24"/>
          <w:shd w:val="clear" w:color="auto" w:fill="FFFFFF"/>
        </w:rPr>
        <w:t>, vai direktīvas prasības tiek pārņemtas pilnībā.</w:t>
      </w:r>
    </w:p>
    <w:p w14:paraId="00CE1CF6" w14:textId="77777777" w:rsidR="00502250" w:rsidRDefault="00502250" w:rsidP="00502250">
      <w:pPr>
        <w:pStyle w:val="tv213"/>
        <w:numPr>
          <w:ilvl w:val="0"/>
          <w:numId w:val="1"/>
        </w:numPr>
        <w:shd w:val="clear" w:color="auto" w:fill="FFFFFF"/>
        <w:tabs>
          <w:tab w:val="left" w:pos="851"/>
        </w:tabs>
        <w:spacing w:before="0" w:beforeAutospacing="0" w:after="0" w:afterAutospacing="0"/>
        <w:ind w:left="0" w:firstLine="567"/>
        <w:jc w:val="both"/>
      </w:pPr>
      <w:r>
        <w:rPr>
          <w:shd w:val="clear" w:color="auto" w:fill="FFFFFF"/>
        </w:rPr>
        <w:t xml:space="preserve">Ņemot vērā noteikumu projekta 20.punkta izteiktā </w:t>
      </w:r>
      <w:r>
        <w:t>59.</w:t>
      </w:r>
      <w:r>
        <w:rPr>
          <w:vertAlign w:val="superscript"/>
        </w:rPr>
        <w:t>3</w:t>
      </w:r>
      <w:r>
        <w:t xml:space="preserve"> punkta redakciju, ka </w:t>
      </w:r>
      <w:r>
        <w:rPr>
          <w:i/>
          <w:iCs/>
        </w:rPr>
        <w:t xml:space="preserve">“Birojs elektrostacijas stacijas kopējo kapitālieguldījumu iekšējās peļņas normas pārrēķinu visam atbalsta periodam un cenas diferencēšanas koeficienta </w:t>
      </w:r>
      <w:proofErr w:type="spellStart"/>
      <w:r>
        <w:rPr>
          <w:i/>
          <w:iCs/>
        </w:rPr>
        <w:t>pārkompensācijas</w:t>
      </w:r>
      <w:proofErr w:type="spellEnd"/>
      <w:r>
        <w:rPr>
          <w:i/>
          <w:iCs/>
        </w:rPr>
        <w:t xml:space="preserve"> novēršanai s aprēķinu veic pēc nepieciešamības, kā arī šādos gadījumos [..]”,</w:t>
      </w:r>
      <w:r>
        <w:t xml:space="preserve"> lai novērstu interpretācijas iespējas, lūdzam minētajā 59.</w:t>
      </w:r>
      <w:r>
        <w:rPr>
          <w:vertAlign w:val="superscript"/>
        </w:rPr>
        <w:t>3</w:t>
      </w:r>
      <w:r>
        <w:t xml:space="preserve"> punktā arī iekļaut gadījumus, kad stacijas kopējo kapitālieguldījumu iekšējās peļņas normas pārrēķins veicams arī tad, kad birojs konstatē (piemēram, veicot pārbaudes pie komersanta uz vietas, vai no attiecīgajiem komersanta iesniegtajiem dokumentiem), ka uzņēmums ir pārkompensēts, kā arī gadījumus, kad komersantam jau ir uz šo brīdi pārtrauktas OI tiesības, un bija secināms, ka valsts atbalsta nosacījumi ir/tika pārkāpti, t.sk., tiktu novērsts uzņēmuma </w:t>
      </w:r>
      <w:proofErr w:type="spellStart"/>
      <w:r>
        <w:t>pārkompensācijas</w:t>
      </w:r>
      <w:proofErr w:type="spellEnd"/>
      <w:r>
        <w:t xml:space="preserve"> risks.</w:t>
      </w:r>
    </w:p>
    <w:p w14:paraId="7E39C1EF" w14:textId="77777777" w:rsidR="00502250" w:rsidRDefault="00502250" w:rsidP="00502250">
      <w:pPr>
        <w:pStyle w:val="ListParagraph"/>
        <w:numPr>
          <w:ilvl w:val="0"/>
          <w:numId w:val="1"/>
        </w:numPr>
        <w:tabs>
          <w:tab w:val="left" w:pos="851"/>
        </w:tabs>
        <w:spacing w:after="0" w:line="240" w:lineRule="auto"/>
        <w:ind w:left="0" w:firstLine="567"/>
        <w:jc w:val="both"/>
      </w:pPr>
      <w:r>
        <w:t>Lūdzam noteikumu projekta 22.punktā ietvertajā 61.</w:t>
      </w:r>
      <w:r>
        <w:rPr>
          <w:vertAlign w:val="superscript"/>
        </w:rPr>
        <w:t>1</w:t>
      </w:r>
      <w:r>
        <w:t xml:space="preserve"> punktā, pēc analoģijas kā šobrīd tajā jau ir atsauces uz noteikumu projekta konkrētiem punktiem, iekļaut arī ar atsauci uz </w:t>
      </w:r>
      <w:r>
        <w:rPr>
          <w:shd w:val="clear" w:color="auto" w:fill="FFFFFF"/>
        </w:rPr>
        <w:t xml:space="preserve">noteikumu projekta </w:t>
      </w:r>
      <w:r>
        <w:t xml:space="preserve">77.punktu, jo gadījumā, ja uzņēmums nevar pierādīt, ka nav bijis pārkompensēts un tādējādi nav saņēmis nelikumīgu valsts atbalstu, nelikumīgs atbalsts ir atgūstams. </w:t>
      </w:r>
    </w:p>
    <w:p w14:paraId="08D1F35A" w14:textId="77777777" w:rsidR="00502250" w:rsidRDefault="00502250" w:rsidP="00502250">
      <w:pPr>
        <w:tabs>
          <w:tab w:val="left" w:pos="851"/>
        </w:tabs>
        <w:ind w:firstLine="567"/>
        <w:rPr>
          <w:szCs w:val="24"/>
        </w:rPr>
      </w:pPr>
      <w:r>
        <w:rPr>
          <w:szCs w:val="24"/>
          <w:shd w:val="clear" w:color="auto" w:fill="FFFFFF"/>
        </w:rPr>
        <w:t xml:space="preserve">Vienlaikus lūdzam pārskatīt vēl citus </w:t>
      </w:r>
      <w:r>
        <w:rPr>
          <w:szCs w:val="24"/>
        </w:rPr>
        <w:t xml:space="preserve">MKN Nr.560 un noteikumu projekta punktus, uz kuriem sniegt atsauces šajā punktā, kur minēto pārkāpumu rezultātā jāveic nelikumīga atbalsta atgūšana (piemēram, MKN Nr.560 </w:t>
      </w:r>
      <w:r>
        <w:rPr>
          <w:szCs w:val="24"/>
          <w:shd w:val="clear" w:color="auto" w:fill="FFFFFF"/>
        </w:rPr>
        <w:t>49.3.punkts, kur konstatētās neatbilstības šo noteikumu prasībām var ietekmēt izmaksājamā atbalsta apmēru)</w:t>
      </w:r>
      <w:r>
        <w:rPr>
          <w:szCs w:val="24"/>
        </w:rPr>
        <w:t>.</w:t>
      </w:r>
    </w:p>
    <w:p w14:paraId="79717692" w14:textId="77777777" w:rsidR="00502250" w:rsidRDefault="00502250" w:rsidP="00502250">
      <w:pPr>
        <w:tabs>
          <w:tab w:val="left" w:pos="851"/>
        </w:tabs>
        <w:ind w:firstLine="567"/>
        <w:rPr>
          <w:szCs w:val="24"/>
        </w:rPr>
      </w:pPr>
      <w:r>
        <w:rPr>
          <w:szCs w:val="24"/>
        </w:rPr>
        <w:t>Attiecīgi lūdzam papildināt arī skaidrojumu anotācijā.</w:t>
      </w:r>
    </w:p>
    <w:p w14:paraId="10DEA5B2" w14:textId="77777777" w:rsidR="00502250" w:rsidRDefault="00502250" w:rsidP="00502250">
      <w:pPr>
        <w:pStyle w:val="ListParagraph"/>
        <w:numPr>
          <w:ilvl w:val="0"/>
          <w:numId w:val="1"/>
        </w:numPr>
        <w:tabs>
          <w:tab w:val="left" w:pos="851"/>
        </w:tabs>
        <w:spacing w:after="0" w:line="240" w:lineRule="auto"/>
        <w:ind w:left="0" w:firstLine="567"/>
        <w:jc w:val="both"/>
      </w:pPr>
      <w:r>
        <w:t xml:space="preserve">Ņemot vērā anotācijā minēto, ka noteikumu projekta normas par nepamatotu un nelikumīgu atbalstu nav savstarpēji izslēdzošas, bet nepieciešamības gadījumā piemērojamas </w:t>
      </w:r>
      <w:r>
        <w:lastRenderedPageBreak/>
        <w:t xml:space="preserve">vienlaikus, tādējādi nodrošinot efektīvu nepamatoti un nelikumīgi saņemta </w:t>
      </w:r>
      <w:r>
        <w:rPr>
          <w:lang w:eastAsia="lv-LV"/>
        </w:rPr>
        <w:t>valsts</w:t>
      </w:r>
      <w:r>
        <w:t xml:space="preserve"> atbalsta atgūšanu (kopā ar procentiem par periodu, kad konstatēts nelikumīgs </w:t>
      </w:r>
      <w:r>
        <w:rPr>
          <w:lang w:eastAsia="lv-LV"/>
        </w:rPr>
        <w:t>valsts</w:t>
      </w:r>
      <w:r>
        <w:t xml:space="preserve"> atbalsts), lūdzam MKN Nr.560 VII sadaļu papildināt ar punktu, pēc kādiem principiem tiks nodrošināta atbalsta atgūšana gadījumos, ja pārkāpuma rezultātā atbalsts būs kvalificējams gan kā nepamatots, gan nelikumīgs atbalsts. Attiecīgi lūdzam precizēt arī atbilstošo skaidrojumu anotācijā.</w:t>
      </w:r>
    </w:p>
    <w:p w14:paraId="48874B72" w14:textId="77777777" w:rsidR="00502250" w:rsidRDefault="00502250" w:rsidP="00502250">
      <w:pPr>
        <w:pStyle w:val="ListParagraph"/>
        <w:numPr>
          <w:ilvl w:val="0"/>
          <w:numId w:val="1"/>
        </w:numPr>
        <w:tabs>
          <w:tab w:val="left" w:pos="851"/>
        </w:tabs>
        <w:spacing w:after="0" w:line="240" w:lineRule="auto"/>
        <w:ind w:left="0" w:firstLine="567"/>
        <w:jc w:val="both"/>
      </w:pPr>
      <w:r>
        <w:t>Anotācijas 3.lpp. minēts, ka “</w:t>
      </w:r>
      <w:r>
        <w:rPr>
          <w:i/>
          <w:iCs/>
          <w:lang w:eastAsia="lv-LV"/>
        </w:rPr>
        <w:t xml:space="preserve">Elektrostaciju, kas darbojas obligātā iepirkuma ietvaros, </w:t>
      </w:r>
      <w:proofErr w:type="spellStart"/>
      <w:r>
        <w:rPr>
          <w:i/>
          <w:iCs/>
          <w:lang w:eastAsia="lv-LV"/>
        </w:rPr>
        <w:t>pārkompensācijas</w:t>
      </w:r>
      <w:proofErr w:type="spellEnd"/>
      <w:r>
        <w:rPr>
          <w:i/>
          <w:iCs/>
          <w:lang w:eastAsia="lv-LV"/>
        </w:rPr>
        <w:t xml:space="preserve"> novēršanas mehānisms tika ieviests 2016. gadā, veicot grozījumus MK noteikumos Nr. 262. Šī mehānisma ieviešana bija priekšnosacījums, lai Eiropas Komisija lemtu </w:t>
      </w:r>
      <w:r>
        <w:rPr>
          <w:i/>
          <w:iCs/>
        </w:rPr>
        <w:t> </w:t>
      </w:r>
      <w:r>
        <w:rPr>
          <w:i/>
          <w:iCs/>
          <w:lang w:eastAsia="lv-LV"/>
        </w:rPr>
        <w:t xml:space="preserve">Latvijas iesniegtā valsts atbalsta lietas SA.42854 (2015/N) “Atbalsts </w:t>
      </w:r>
      <w:proofErr w:type="spellStart"/>
      <w:r>
        <w:rPr>
          <w:i/>
          <w:iCs/>
          <w:lang w:eastAsia="lv-LV"/>
        </w:rPr>
        <w:t>energointensīvajiem</w:t>
      </w:r>
      <w:proofErr w:type="spellEnd"/>
      <w:r>
        <w:rPr>
          <w:i/>
          <w:iCs/>
          <w:lang w:eastAsia="lv-LV"/>
        </w:rPr>
        <w:t xml:space="preserve"> apstrādes rūpniecības komersantiem” atbilstību ES iekšējā tirgus nosacījumiem.</w:t>
      </w:r>
      <w:r>
        <w:rPr>
          <w:lang w:eastAsia="lv-LV"/>
        </w:rPr>
        <w:t xml:space="preserve">”. Ņemot vērā, ka atbalsta pasākums ir ieviests saskaņā ar EK lēmumu </w:t>
      </w:r>
      <w:r>
        <w:t>SA.43140, lūdzam precizēt anotācijā minēto atsauci uz korektu EK lēmumu.</w:t>
      </w:r>
      <w:r>
        <w:rPr>
          <w:lang w:eastAsia="lv-LV"/>
        </w:rPr>
        <w:t xml:space="preserve"> </w:t>
      </w:r>
    </w:p>
    <w:p w14:paraId="09662D95" w14:textId="77777777" w:rsidR="00502250" w:rsidRDefault="00502250" w:rsidP="00502250">
      <w:pPr>
        <w:pStyle w:val="PlainText"/>
        <w:numPr>
          <w:ilvl w:val="0"/>
          <w:numId w:val="1"/>
        </w:numPr>
        <w:tabs>
          <w:tab w:val="left" w:pos="851"/>
        </w:tabs>
        <w:ind w:left="0"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Ņemot vērā, ka noteikumu projekts skar izmaiņas </w:t>
      </w:r>
      <w:proofErr w:type="spellStart"/>
      <w:r>
        <w:rPr>
          <w:rFonts w:ascii="Times New Roman" w:hAnsi="Times New Roman" w:cs="Times New Roman"/>
          <w:color w:val="auto"/>
          <w:sz w:val="24"/>
          <w:szCs w:val="24"/>
        </w:rPr>
        <w:t>pārkompensācijas</w:t>
      </w:r>
      <w:proofErr w:type="spellEnd"/>
      <w:r>
        <w:rPr>
          <w:rFonts w:ascii="Times New Roman" w:hAnsi="Times New Roman" w:cs="Times New Roman"/>
          <w:color w:val="auto"/>
          <w:sz w:val="24"/>
          <w:szCs w:val="24"/>
        </w:rPr>
        <w:t xml:space="preserve"> aprēķinā un vēsturiskā atbalsta perioda iekļaušanu kopējā atbalsta periodā, Ekonomikas ministrija 2020.gada 24.novembrī uzsāka komunikāciju ar EK. Tikai pēc EK atbildes saņemšanas būs skaidrs, vai pēc virzītajiem grozījumiem būs nepieciešams veikt grozījumus EK lēmumā SA.43140. Attiecīgi lūdzam ar minēto informāciju papildināt anotāciju.</w:t>
      </w:r>
    </w:p>
    <w:p w14:paraId="4658C048" w14:textId="1B2723AC" w:rsidR="00557B49" w:rsidRPr="00502250" w:rsidRDefault="00502250" w:rsidP="007F3771">
      <w:pPr>
        <w:pStyle w:val="ListParagraph"/>
        <w:numPr>
          <w:ilvl w:val="0"/>
          <w:numId w:val="1"/>
        </w:numPr>
        <w:tabs>
          <w:tab w:val="left" w:pos="851"/>
        </w:tabs>
        <w:ind w:left="0" w:firstLine="567"/>
        <w:jc w:val="both"/>
      </w:pPr>
      <w:r w:rsidRPr="000116AA">
        <w:t>Ministru kabineta noteikumu projekta sākotnējās ietekmes novērtējuma ziņojuma (anotācijas) VI sadaļas 3.punktu nepieciešams papildināt ar informāciju atbilstoši Ministru kabineta 2009.gada 15.decembra instrukcijas Nr.19 “Tiesību akta projekta sākotnējās ietekmes izvērtēšanas kārtība” 62.punktā noteiktajam. Patreiz  (anotācijas) VI sadaļas 3.punkts nesatur informāciju par sabiedrības pārstāvju izteiktiem būtiskajiem priekšlikumiem, kas tika izteikti projekta izstrādes procesā, kā arī nav norādīta informācija par sabiedrības pārstāvju priekšlikumiem, kas ir vai nav ņemti vērā.</w:t>
      </w:r>
    </w:p>
    <w:p w14:paraId="55D553E2" w14:textId="77777777" w:rsidR="00557B49" w:rsidRPr="00615936" w:rsidRDefault="00557B49" w:rsidP="007F3771">
      <w:pPr>
        <w:rPr>
          <w:szCs w:val="24"/>
        </w:rPr>
      </w:pPr>
    </w:p>
    <w:p w14:paraId="73FFFB1C"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4E556EFA" w14:textId="77777777" w:rsidTr="00AA6DC1">
        <w:tc>
          <w:tcPr>
            <w:tcW w:w="4395" w:type="dxa"/>
          </w:tcPr>
          <w:p w14:paraId="3E516499" w14:textId="716751B4" w:rsidR="00AA6DC1" w:rsidRPr="00615936" w:rsidRDefault="009C4CA6" w:rsidP="007F3771">
            <w:pPr>
              <w:rPr>
                <w:szCs w:val="24"/>
              </w:rPr>
            </w:pPr>
            <w:r>
              <w:rPr>
                <w:szCs w:val="24"/>
              </w:rPr>
              <w:t>Administrācijas vadītāja</w:t>
            </w:r>
          </w:p>
        </w:tc>
        <w:tc>
          <w:tcPr>
            <w:tcW w:w="1984" w:type="dxa"/>
          </w:tcPr>
          <w:p w14:paraId="538D0C23" w14:textId="77777777" w:rsidR="00AA6DC1" w:rsidRDefault="00AA6DC1" w:rsidP="00AA6DC1">
            <w:pPr>
              <w:jc w:val="center"/>
              <w:rPr>
                <w:szCs w:val="24"/>
              </w:rPr>
            </w:pPr>
            <w:bookmarkStart w:id="9" w:name="edoc_info2"/>
            <w:r>
              <w:rPr>
                <w:szCs w:val="24"/>
              </w:rPr>
              <w:t>(paraksts*)</w:t>
            </w:r>
            <w:bookmarkEnd w:id="9"/>
          </w:p>
        </w:tc>
        <w:tc>
          <w:tcPr>
            <w:tcW w:w="2977" w:type="dxa"/>
            <w:vAlign w:val="bottom"/>
          </w:tcPr>
          <w:p w14:paraId="65176A49" w14:textId="12ADB334" w:rsidR="00AA6DC1" w:rsidRPr="00615936" w:rsidRDefault="009C4CA6" w:rsidP="00483407">
            <w:pPr>
              <w:jc w:val="right"/>
              <w:rPr>
                <w:szCs w:val="24"/>
              </w:rPr>
            </w:pPr>
            <w:proofErr w:type="spellStart"/>
            <w:r>
              <w:rPr>
                <w:szCs w:val="24"/>
              </w:rPr>
              <w:t>I.Braunfelde</w:t>
            </w:r>
            <w:proofErr w:type="spellEnd"/>
          </w:p>
        </w:tc>
      </w:tr>
      <w:tr w:rsidR="00AA6DC1" w:rsidRPr="00615936" w14:paraId="35755649" w14:textId="77777777" w:rsidTr="00AA6DC1">
        <w:tc>
          <w:tcPr>
            <w:tcW w:w="4395" w:type="dxa"/>
          </w:tcPr>
          <w:p w14:paraId="3E8F3B58" w14:textId="77777777" w:rsidR="00AA6DC1" w:rsidRPr="00615936" w:rsidRDefault="00AA6DC1" w:rsidP="007F3771">
            <w:pPr>
              <w:rPr>
                <w:szCs w:val="24"/>
              </w:rPr>
            </w:pPr>
          </w:p>
        </w:tc>
        <w:tc>
          <w:tcPr>
            <w:tcW w:w="1984" w:type="dxa"/>
          </w:tcPr>
          <w:p w14:paraId="17E48699" w14:textId="77777777" w:rsidR="00AA6DC1" w:rsidRPr="00615936" w:rsidRDefault="00AA6DC1" w:rsidP="000C0DD4">
            <w:pPr>
              <w:jc w:val="right"/>
              <w:rPr>
                <w:szCs w:val="24"/>
              </w:rPr>
            </w:pPr>
          </w:p>
        </w:tc>
        <w:tc>
          <w:tcPr>
            <w:tcW w:w="2977" w:type="dxa"/>
            <w:vAlign w:val="bottom"/>
          </w:tcPr>
          <w:p w14:paraId="350C5713"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B710497" w14:textId="77777777" w:rsidTr="00AA6DC1">
        <w:trPr>
          <w:cantSplit/>
          <w:trHeight w:val="615"/>
        </w:trPr>
        <w:tc>
          <w:tcPr>
            <w:tcW w:w="8647" w:type="dxa"/>
          </w:tcPr>
          <w:p w14:paraId="717BF4F3" w14:textId="77777777" w:rsidR="002D6CB4" w:rsidRPr="00AA6DC1" w:rsidRDefault="00AA6DC1" w:rsidP="00AA6DC1">
            <w:pPr>
              <w:pStyle w:val="BodyTextIndent"/>
              <w:tabs>
                <w:tab w:val="left" w:pos="8397"/>
              </w:tabs>
              <w:ind w:left="0"/>
              <w:rPr>
                <w:sz w:val="24"/>
                <w:szCs w:val="24"/>
              </w:rPr>
            </w:pPr>
            <w:bookmarkStart w:id="10" w:name="edoc_info" w:colFirst="0" w:colLast="0"/>
            <w:r w:rsidRPr="00AA6DC1">
              <w:rPr>
                <w:sz w:val="24"/>
                <w:szCs w:val="24"/>
              </w:rPr>
              <w:t>*Dokuments ir parakstīts ar drošu elektronisko parakstu</w:t>
            </w:r>
          </w:p>
        </w:tc>
      </w:tr>
      <w:bookmarkEnd w:id="10"/>
    </w:tbl>
    <w:p w14:paraId="79C9E780" w14:textId="77777777" w:rsidR="00826D51" w:rsidRDefault="00826D51" w:rsidP="007F3771">
      <w:pPr>
        <w:rPr>
          <w:sz w:val="20"/>
        </w:rPr>
      </w:pPr>
    </w:p>
    <w:p w14:paraId="434FE2FD" w14:textId="77777777" w:rsidR="00502250" w:rsidRDefault="00502250" w:rsidP="00502250">
      <w:pPr>
        <w:rPr>
          <w:sz w:val="20"/>
        </w:rPr>
      </w:pPr>
    </w:p>
    <w:p w14:paraId="79804500" w14:textId="77777777" w:rsidR="00502250" w:rsidRDefault="00502250" w:rsidP="00502250">
      <w:pPr>
        <w:rPr>
          <w:sz w:val="20"/>
        </w:rPr>
      </w:pPr>
    </w:p>
    <w:p w14:paraId="71B0FB69" w14:textId="77777777" w:rsidR="00502250" w:rsidRDefault="00502250" w:rsidP="00502250">
      <w:pPr>
        <w:rPr>
          <w:sz w:val="20"/>
        </w:rPr>
      </w:pPr>
    </w:p>
    <w:p w14:paraId="66FF11CF" w14:textId="77777777" w:rsidR="00502250" w:rsidRDefault="00502250" w:rsidP="00502250">
      <w:pPr>
        <w:rPr>
          <w:sz w:val="20"/>
        </w:rPr>
      </w:pPr>
    </w:p>
    <w:p w14:paraId="5D0BA939" w14:textId="77777777" w:rsidR="00502250" w:rsidRDefault="00502250" w:rsidP="00502250">
      <w:pPr>
        <w:rPr>
          <w:sz w:val="20"/>
        </w:rPr>
      </w:pPr>
    </w:p>
    <w:p w14:paraId="4F9CD0A4" w14:textId="625B20F1" w:rsidR="00502250" w:rsidRPr="00502250" w:rsidRDefault="00502250" w:rsidP="00502250">
      <w:pPr>
        <w:rPr>
          <w:sz w:val="20"/>
        </w:rPr>
      </w:pPr>
      <w:r w:rsidRPr="00502250">
        <w:rPr>
          <w:sz w:val="20"/>
        </w:rPr>
        <w:t>Āboliņa 67083963</w:t>
      </w:r>
    </w:p>
    <w:p w14:paraId="4DFCF7DF" w14:textId="77777777" w:rsidR="00502250" w:rsidRPr="00502250" w:rsidRDefault="00502250" w:rsidP="00502250">
      <w:pPr>
        <w:rPr>
          <w:sz w:val="20"/>
        </w:rPr>
      </w:pPr>
      <w:r w:rsidRPr="00502250">
        <w:rPr>
          <w:sz w:val="20"/>
        </w:rPr>
        <w:t xml:space="preserve">ilze.abolina@fm.gov.lv </w:t>
      </w:r>
    </w:p>
    <w:p w14:paraId="7CBE0D1C" w14:textId="77777777" w:rsidR="00502250" w:rsidRPr="00502250" w:rsidRDefault="00502250" w:rsidP="00502250">
      <w:pPr>
        <w:rPr>
          <w:sz w:val="20"/>
        </w:rPr>
      </w:pPr>
    </w:p>
    <w:p w14:paraId="2209E8FB" w14:textId="77777777" w:rsidR="00502250" w:rsidRPr="00502250" w:rsidRDefault="00502250" w:rsidP="00502250">
      <w:pPr>
        <w:rPr>
          <w:sz w:val="20"/>
        </w:rPr>
      </w:pPr>
      <w:r w:rsidRPr="00502250">
        <w:rPr>
          <w:sz w:val="20"/>
        </w:rPr>
        <w:t>Kreicberga 67095572</w:t>
      </w:r>
    </w:p>
    <w:p w14:paraId="713B97C2" w14:textId="77777777" w:rsidR="00502250" w:rsidRPr="00502250" w:rsidRDefault="00502250" w:rsidP="00502250">
      <w:pPr>
        <w:rPr>
          <w:sz w:val="20"/>
        </w:rPr>
      </w:pPr>
      <w:r w:rsidRPr="00502250">
        <w:rPr>
          <w:sz w:val="20"/>
        </w:rPr>
        <w:t>ilze.kreicberga@fm.gov.lv</w:t>
      </w:r>
    </w:p>
    <w:p w14:paraId="1639DE9F" w14:textId="77777777" w:rsidR="00502250" w:rsidRPr="00502250" w:rsidRDefault="00502250" w:rsidP="00502250">
      <w:pPr>
        <w:rPr>
          <w:sz w:val="20"/>
        </w:rPr>
      </w:pPr>
    </w:p>
    <w:p w14:paraId="451E3807" w14:textId="77777777" w:rsidR="00502250" w:rsidRPr="00502250" w:rsidRDefault="00502250" w:rsidP="00502250">
      <w:pPr>
        <w:rPr>
          <w:sz w:val="20"/>
        </w:rPr>
      </w:pPr>
      <w:r w:rsidRPr="00502250">
        <w:rPr>
          <w:sz w:val="20"/>
        </w:rPr>
        <w:t>Hartmane 67095525</w:t>
      </w:r>
    </w:p>
    <w:p w14:paraId="33583C36" w14:textId="77777777" w:rsidR="00502250" w:rsidRPr="00502250" w:rsidRDefault="00502250" w:rsidP="00502250">
      <w:pPr>
        <w:rPr>
          <w:sz w:val="20"/>
        </w:rPr>
      </w:pPr>
      <w:r w:rsidRPr="00502250">
        <w:rPr>
          <w:sz w:val="20"/>
        </w:rPr>
        <w:t xml:space="preserve">ella.hartmane@fm.gov.lv </w:t>
      </w:r>
    </w:p>
    <w:p w14:paraId="4100AB47" w14:textId="77777777" w:rsidR="000C0DD4" w:rsidRPr="006D6710" w:rsidRDefault="000C0DD4" w:rsidP="007F3771">
      <w:pPr>
        <w:rPr>
          <w:sz w:val="20"/>
        </w:rPr>
      </w:pPr>
    </w:p>
    <w:sectPr w:rsidR="000C0DD4" w:rsidRPr="006D6710" w:rsidSect="002C22B9">
      <w:headerReference w:type="even" r:id="rId8"/>
      <w:headerReference w:type="default"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D3913" w14:textId="77777777" w:rsidR="00CF2693" w:rsidRDefault="00CF2693">
      <w:r>
        <w:separator/>
      </w:r>
    </w:p>
  </w:endnote>
  <w:endnote w:type="continuationSeparator" w:id="0">
    <w:p w14:paraId="06B37FAD" w14:textId="77777777" w:rsidR="00CF2693" w:rsidRDefault="00CF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09F469D7"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008D16A8" w14:textId="51DC03C9" w:rsidR="0015384D" w:rsidRDefault="00502250">
    <w:pPr>
      <w:pStyle w:val="Footer"/>
    </w:pPr>
    <w:r>
      <w:t>FMatz_VSS-38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AAC54" w14:textId="77777777" w:rsidR="0015384D" w:rsidRDefault="0015384D">
    <w:pPr>
      <w:pStyle w:val="Footer"/>
      <w:jc w:val="center"/>
    </w:pPr>
  </w:p>
  <w:p w14:paraId="0251BF40" w14:textId="113B632F" w:rsidR="0015384D" w:rsidRDefault="00502250">
    <w:pPr>
      <w:pStyle w:val="Footer"/>
    </w:pPr>
    <w:r>
      <w:t>FMatz_VSS-38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AB8CA" w14:textId="77777777" w:rsidR="00CF2693" w:rsidRDefault="00CF2693">
      <w:r>
        <w:separator/>
      </w:r>
    </w:p>
  </w:footnote>
  <w:footnote w:type="continuationSeparator" w:id="0">
    <w:p w14:paraId="1125DF97" w14:textId="77777777" w:rsidR="00CF2693" w:rsidRDefault="00CF2693">
      <w:r>
        <w:continuationSeparator/>
      </w:r>
    </w:p>
  </w:footnote>
  <w:footnote w:id="1">
    <w:p w14:paraId="6733190B" w14:textId="77777777" w:rsidR="00502250" w:rsidRDefault="00502250" w:rsidP="00502250">
      <w:pPr>
        <w:pStyle w:val="FootnoteText"/>
        <w:rPr>
          <w:lang w:eastAsia="lv-LV"/>
        </w:rPr>
      </w:pPr>
      <w:r>
        <w:rPr>
          <w:rStyle w:val="FootnoteReference"/>
        </w:rPr>
        <w:t>[1]</w:t>
      </w:r>
      <w:r>
        <w:t xml:space="preserve"> https://ec.europa.eu/competition/elojade/isef/case_details.cfm?proc_code=3_SA_43140</w:t>
      </w:r>
    </w:p>
  </w:footnote>
  <w:footnote w:id="2">
    <w:p w14:paraId="2E54A672" w14:textId="77777777" w:rsidR="00502250" w:rsidRDefault="00502250" w:rsidP="00502250">
      <w:pPr>
        <w:pStyle w:val="FootnoteText"/>
      </w:pPr>
      <w:r>
        <w:rPr>
          <w:rStyle w:val="FootnoteReference"/>
        </w:rPr>
        <w:t>[2]</w:t>
      </w:r>
      <w:r>
        <w:t xml:space="preserve"> https://eur-lex.europa.eu/legal-content/LV/TXT/?uri=CELEX%3A52008XC0401%2803%29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FA202"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516EDE9"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10CF2"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71403" w14:textId="77777777" w:rsidR="002C22B9" w:rsidRDefault="002C22B9">
    <w:pPr>
      <w:pStyle w:val="Header"/>
    </w:pPr>
  </w:p>
  <w:p w14:paraId="3FD76266" w14:textId="77777777" w:rsidR="002C22B9" w:rsidRDefault="002C22B9">
    <w:pPr>
      <w:pStyle w:val="Header"/>
    </w:pPr>
  </w:p>
  <w:p w14:paraId="44E6BC72" w14:textId="77777777" w:rsidR="002C22B9" w:rsidRDefault="002C22B9">
    <w:pPr>
      <w:pStyle w:val="Header"/>
    </w:pPr>
  </w:p>
  <w:p w14:paraId="62D82FA3"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33FA6E51" wp14:editId="2966E63B">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E0B2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3FA6E51"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214E0B2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B9B1FE0" wp14:editId="3922C84A">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A87255" w14:textId="77777777" w:rsidR="002C22B9" w:rsidRDefault="002C22B9">
    <w:pPr>
      <w:pStyle w:val="Header"/>
    </w:pPr>
  </w:p>
  <w:p w14:paraId="4B36F2DB" w14:textId="77777777" w:rsidR="002C22B9" w:rsidRDefault="002C22B9">
    <w:pPr>
      <w:pStyle w:val="Header"/>
    </w:pPr>
  </w:p>
  <w:p w14:paraId="160F9C72" w14:textId="77777777" w:rsidR="002C22B9" w:rsidRDefault="002C22B9">
    <w:pPr>
      <w:pStyle w:val="Header"/>
    </w:pPr>
  </w:p>
  <w:p w14:paraId="6FF16F91" w14:textId="77777777" w:rsidR="002C22B9" w:rsidRDefault="002C22B9">
    <w:pPr>
      <w:pStyle w:val="Header"/>
    </w:pPr>
  </w:p>
  <w:p w14:paraId="1C5209AF" w14:textId="77777777" w:rsidR="002C22B9" w:rsidRDefault="002C22B9">
    <w:pPr>
      <w:pStyle w:val="Header"/>
    </w:pPr>
  </w:p>
  <w:p w14:paraId="124A49BB" w14:textId="77777777" w:rsidR="002C22B9" w:rsidRDefault="002C22B9">
    <w:pPr>
      <w:pStyle w:val="Header"/>
    </w:pPr>
  </w:p>
  <w:p w14:paraId="46FB4587"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066A98BA" wp14:editId="4271C2E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0A72788" w14:textId="77777777" w:rsidR="002C22B9" w:rsidRDefault="002C22B9">
    <w:pPr>
      <w:pStyle w:val="Header"/>
    </w:pPr>
  </w:p>
  <w:p w14:paraId="17A45DEE" w14:textId="77777777" w:rsidR="002C22B9" w:rsidRDefault="002C22B9">
    <w:pPr>
      <w:pStyle w:val="Header"/>
    </w:pPr>
  </w:p>
  <w:p w14:paraId="17B43EEB"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4459F"/>
    <w:multiLevelType w:val="multilevel"/>
    <w:tmpl w:val="1E5ACEC8"/>
    <w:lvl w:ilvl="0">
      <w:start w:val="1"/>
      <w:numFmt w:val="decimal"/>
      <w:lvlText w:val="%1."/>
      <w:lvlJc w:val="left"/>
      <w:pPr>
        <w:ind w:left="927" w:hanging="360"/>
      </w:pPr>
      <w:rPr>
        <w:color w:val="000000"/>
      </w:rPr>
    </w:lvl>
    <w:lvl w:ilvl="1">
      <w:start w:val="1"/>
      <w:numFmt w:val="decimal"/>
      <w:isLgl/>
      <w:lvlText w:val="%1.%2."/>
      <w:lvlJc w:val="left"/>
      <w:pPr>
        <w:ind w:left="1287" w:hanging="360"/>
      </w:pPr>
      <w:rPr>
        <w:rFonts w:ascii="Times New Roman" w:hAnsi="Times New Roman" w:cs="Times New Roman" w:hint="default"/>
        <w:i w:val="0"/>
        <w:sz w:val="24"/>
        <w:szCs w:val="24"/>
      </w:rPr>
    </w:lvl>
    <w:lvl w:ilvl="2">
      <w:start w:val="1"/>
      <w:numFmt w:val="decimal"/>
      <w:isLgl/>
      <w:lvlText w:val="%3."/>
      <w:lvlJc w:val="left"/>
      <w:pPr>
        <w:ind w:left="2007" w:hanging="720"/>
      </w:pPr>
      <w:rPr>
        <w:rFonts w:ascii="Times New Roman" w:eastAsia="Calibri" w:hAnsi="Times New Roman" w:cs="Times New Roman"/>
        <w:sz w:val="24"/>
        <w:szCs w:val="24"/>
      </w:r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1CD1"/>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2250"/>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4CA6"/>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520E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2693"/>
    <w:rsid w:val="00CF7CC2"/>
    <w:rsid w:val="00D01B64"/>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1CA0"/>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6F4250"/>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aliases w:val="Footnote Char,Footnote text,Fußn,Fußnote,Fußnote Char,Fußnotentext Char Char,Reference,Schriftart: 10 pt,Schriftart: 8 pt,Schriftart: 9 pt,Voetnoottekst Char,Voetnoottekst Char1,Voetnoottekst Char2 Char Char,WB-Fußnotentext,fußn,o,stile 1"/>
    <w:basedOn w:val="Normal"/>
    <w:link w:val="FootnoteTextChar"/>
    <w:semiHidden/>
    <w:rsid w:val="00903B9C"/>
    <w:rPr>
      <w:sz w:val="20"/>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S,Times 10 Point,de nota al pie,stylish"/>
    <w:link w:val="FootnotesymbolCarZchn"/>
    <w:uiPriority w:val="99"/>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aliases w:val="Footnote Char Char,Footnote text Char,Fußn Char,Fußnote Char1,Fußnote Char Char,Fußnotentext Char Char Char,Reference Char,Schriftart: 10 pt Char,Schriftart: 8 pt Char,Schriftart: 9 pt Char,Voetnoottekst Char Char,WB-Fußnoten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502250"/>
    <w:pPr>
      <w:jc w:val="left"/>
    </w:pPr>
    <w:rPr>
      <w:rFonts w:ascii="Calibri" w:eastAsiaTheme="minorHAnsi" w:hAnsi="Calibri" w:cs="Calibri"/>
      <w:color w:val="1F497D"/>
      <w:sz w:val="22"/>
      <w:szCs w:val="22"/>
    </w:rPr>
  </w:style>
  <w:style w:type="character" w:customStyle="1" w:styleId="PlainTextChar">
    <w:name w:val="Plain Text Char"/>
    <w:basedOn w:val="DefaultParagraphFont"/>
    <w:link w:val="PlainText"/>
    <w:uiPriority w:val="99"/>
    <w:semiHidden/>
    <w:rsid w:val="00502250"/>
    <w:rPr>
      <w:rFonts w:ascii="Calibri" w:eastAsiaTheme="minorHAnsi" w:hAnsi="Calibri" w:cs="Calibri"/>
      <w:color w:val="1F497D"/>
      <w:sz w:val="22"/>
      <w:szCs w:val="22"/>
      <w:lang w:eastAsia="en-US"/>
    </w:rPr>
  </w:style>
  <w:style w:type="paragraph" w:styleId="ListParagraph">
    <w:name w:val="List Paragraph"/>
    <w:basedOn w:val="Normal"/>
    <w:uiPriority w:val="34"/>
    <w:qFormat/>
    <w:rsid w:val="00502250"/>
    <w:pPr>
      <w:spacing w:after="160" w:line="252" w:lineRule="auto"/>
      <w:ind w:left="720"/>
      <w:contextualSpacing/>
      <w:jc w:val="left"/>
    </w:pPr>
    <w:rPr>
      <w:rFonts w:eastAsiaTheme="minorHAnsi"/>
      <w:szCs w:val="24"/>
    </w:rPr>
  </w:style>
  <w:style w:type="paragraph" w:customStyle="1" w:styleId="tv213">
    <w:name w:val="tv213"/>
    <w:basedOn w:val="Normal"/>
    <w:rsid w:val="00502250"/>
    <w:pPr>
      <w:spacing w:before="100" w:beforeAutospacing="1" w:after="100" w:afterAutospacing="1"/>
      <w:jc w:val="left"/>
    </w:pPr>
    <w:rPr>
      <w:rFonts w:eastAsiaTheme="minorHAnsi"/>
      <w:szCs w:val="24"/>
      <w:lang w:eastAsia="lv-LV"/>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502250"/>
    <w:pPr>
      <w:spacing w:after="160" w:line="240" w:lineRule="exact"/>
    </w:pPr>
    <w:rPr>
      <w:sz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D09AA5-5559-4B1C-8522-2FAD2236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5694</Words>
  <Characters>3247</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noteikumu projektu "Grozījumi Ministru kabinet</dc:subject>
  <dc:creator>Āboliņa I.</dc:creator>
  <dc:description>Sagatavots ALS E-aprites vidē.</dc:description>
  <cp:lastModifiedBy>Alvils Strīķeris</cp:lastModifiedBy>
  <cp:revision>2</cp:revision>
  <cp:lastPrinted>2007-06-25T10:49:00Z</cp:lastPrinted>
  <dcterms:created xsi:type="dcterms:W3CDTF">2021-02-03T07:10:00Z</dcterms:created>
  <dcterms:modified xsi:type="dcterms:W3CDTF">2021-02-03T07:10:00Z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