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26-TA-1350: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2015. gada 10. novembra noteikumos Nr. 645 "Darbības programmas "Izaugsme un nodarbinātība" 5.6.2. specifiskā atbalsta mērķa "Teritoriju revitalizācija, reģenerējot degradētās teritorijas atbilstoši pašvaldību integrētajām attīstības programmām" un 13.1.3. specifiskā atbalsta mērķa "Atveseļošanas pasākumi vides un reģionālās attīstības jomā" 13.1.3.3. pasākuma "Teritoriju revitalizācija uzņēmējdarbības veicināšanai pašvaldībās"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(01.11.2024.)</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30.07.2026. 14:11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izziņas 2.punktā minētajam, izteiktais iebildums ir ņemts vērā un minēts, ka grozījumiem nav ietekmes uz komersantiem un noteikumu projektā paredzētais  neietekmē un nepārkāpj vienlīdzības principu attiecībā uz minēto komersantu atlasi, jo komersanti, kas pieteikušies uz īpašumu nomas vai apsaimniekošanas tiesībām, tiek izvēlēti publiskas izsoles rezultātā un šis princips arī turpmāk netiek mainīts.  Tomēr, izvērtējot aktuālo anotācijas redakciju, vērtējums par grozījumu ietekmi uz komersantu atlases procedūru nav iekļauts anotācijas tekstā. Ievērojot minēto, lūdzam iekļaut izziņas 2.punktā minēto vērtējumu, kā arī informāciju, ka grozījumi neietekmē un nepārkāpj vienlīdzības principu attiecībā uz minēto komersantu atlasi, anotācijas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“Pašreizējā situācija, problēmas un risinājumi” risinājuma apraksta 1.punktā ir papildināta informācija par to, ka grozījumi neietekmē un nepārkāpj vienlīdzības principu attiecībā uz nomas infrastruktūras projektos iesaistīto komersantu atlasi.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atbilstoši izziņas 6.punktā minētajam, priekšlikums ir ņemts vērā un anotācija ir papildināta ar informāciju par situāciju visos specifiskā atbalsta mērķa reģionos, tomēr anotācijā nav ietverts skaidrojums, vai izstrādātie grozījumi (attiecībā uz rādītāju kompensēšanu) nav uzskatāmi par būtiskiem (t.i., tādi, kas ietekmē darbības veidu, mērķus vai īstenošanas nosacījumus, tādējādi traucējot tās sākotnējo mērķu sasniegšanu). Lūdzam papildināt noteikumu projekta anotāciju ar minēto skaidrojumu, īpaši attiecībā uz tiem projektiem, kuru starpā tiks veikta rādītāju kompensēšana (proti, vai netiks būtiski ietekmēta to projektu rādītāju un mērķu sasniegšana, no kuriem tiks kompensēts iztrūkums un pārvirzīti rādītāji).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“Pašreizējā situācija, problēmas un risinājumi” risinājuma apraksta 1. punktā ir papildināta informācija, ka kompensēšanas mehānisms nemaina to, ka projektā, no kura tiek kompensēti un pārvirzīti rādītāji uz citu projektu, ir jāievēro minimālais sasniedzamais radītāju apmērs, lai neiestātos MK noteikumu Nr. 645 12. punkta nosacījumi par finansējuma atmaksu.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informācija, ka noteikumu projektā iekļautie grozījumi  MK noteikumos Nr. 645 nemaina projektu īstenošanas veidu, mērķus vai īstenošanas nosacījumus pēc būtības un neatceļ sākotnēji nosprausto darbības programmas mērķu sasniegšanu norādīta anotācijas 1.3. sadaļas “Pašreizējā situācija, problēmas un risinājumi” risinājuma apraksta pēdējā teikumā.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19.06.2026. 15:15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w:t>
            </w:r>
            <w:r w:rsidR="00000000" w:rsidRPr="00000000" w:rsidDel="00000000">
              <w:rPr>
                <w:vertAlign w:val="superscript"/>
                <w:rtl w:val="0"/>
              </w:rPr>
              <w:t xml:space="preserve">1</w:t>
            </w:r>
            <w:r w:rsidR="00000000" w:rsidRPr="00000000" w:rsidDel="00000000">
              <w:rPr>
                <w:rtl w:val="0"/>
              </w:rPr>
              <w:t xml:space="preserve">3. apakšpunktā paredzēta iespēja savstarpēji aizstāt atšķirīgus iznākuma rādītājus, nosakot, ka vienas jaunizveidotās darba vietas iztrūkumu var aizstāt ar 41 000 </w:t>
            </w:r>
            <w:r w:rsidR="00000000" w:rsidRPr="00000000" w:rsidDel="00000000">
              <w:rPr>
                <w:i w:val="1"/>
                <w:rtl w:val="0"/>
              </w:rPr>
              <w:t xml:space="preserve">euro </w:t>
            </w:r>
            <w:r w:rsidR="00000000" w:rsidRPr="00000000" w:rsidDel="00000000">
              <w:rPr>
                <w:rtl w:val="0"/>
              </w:rPr>
              <w:t xml:space="preserve">komersantu nefinanšu investīcijām un otrādi. Anotācijā aprakstīts minētais rādītāju savstarpējās kompensēšanas mehānisms, tomēr nav sniegts pamatojums 41 000 </w:t>
            </w:r>
            <w:r w:rsidR="00000000" w:rsidRPr="00000000" w:rsidDel="00000000">
              <w:rPr>
                <w:i w:val="1"/>
                <w:rtl w:val="0"/>
              </w:rPr>
              <w:t xml:space="preserve">euro </w:t>
            </w:r>
            <w:r w:rsidR="00000000" w:rsidRPr="00000000" w:rsidDel="00000000">
              <w:rPr>
                <w:rtl w:val="0"/>
              </w:rPr>
              <w:t xml:space="preserve">apmēra noteikšanai un nav skaidrota tā aprēķina metodika.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minētā ekvivalence ir būtiska atšķirīgu iznākuma rādītāju savstarpējai aizstāšanai un projektu rezultātu novērtēšanai, lūdzam anotāciju papildināt ar objektīvu un uz aprēķiniem vai citiem pārbaudāmiem datiem balstītu pamatojumu 41 000 </w:t>
            </w:r>
            <w:r w:rsidR="00000000" w:rsidRPr="00000000" w:rsidDel="00000000">
              <w:rPr>
                <w:i w:val="1"/>
                <w:rtl w:val="0"/>
              </w:rPr>
              <w:t xml:space="preserve">euro </w:t>
            </w:r>
            <w:r w:rsidR="00000000" w:rsidRPr="00000000" w:rsidDel="00000000">
              <w:rPr>
                <w:rtl w:val="0"/>
              </w:rPr>
              <w:t xml:space="preserve">apmēra noteikšanai.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projekta 12.13. apakšpunktā minētā vērtība, 41 000 EUR, ir vienas darba vietas vērtība naudas izteiksmē, kas izriet no MK noteikumu Nr. 645 11.1. apakšpunktā jau sākotnēji paredzētās vienai jaunai darba vietai noteiktās vērtības. Noteikumu projektā iekļautās normas nemaina līdzšinējo pieeju attiecībā uz vienas darba vietas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MK noteikumu Nr. 645  11.3. apakšpunktā jau sākotnējā redakcijā ir iekļauta formula, kas paredz darba vietu un nefinanšu investīciju rādītāju summēšanu, kurā vienas darba vietas vērtība tiek reizināta ar 41 000, lai iegūtu darba vietu vērtības ekvivalentu naudas izteiksmē. Šāda pieeja tika  noteikta, ņemot vērā, ka projektu orientācija uz sasniedzamajiem iznākuma rādītājiem var būt atšķirīga (vienā projektā var būt lielāks uzsvars uz nefinanšu investīcijām, citā projektā – uz izveidotām darba vietām).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41 000 EUR uz vienu darba vietu, ir vērtība (pieņēmums), kas tika izmantota ES fondu 2014-2020 plānošanas perioda darbības programmas “Izaugsme un nodarbinātība” rādītāja “r.5.6.2.a Strādājošo skaits (privātajā sektorā) uzņēmumos, kuru ražošanas vai pakalpojuma sniegšanas vieta ir nacionālas un reģionālas nozīmes attīstības centru teritorija un to funkcionālās teritorijas, strādājošo skaits” aprēķina metodikā. Atbilstoši ES fondu 2014-2020 plānošanas perioda ieviešanas sistēmai un dokumentu hierarhijai darba vietu rādītāja aprēķina metodiku (kurā tiek izmantota vērtība 41 000) nav nepieciešams skaidrot specifiskā atbalsta mērķa īstenošanas noteikumos, bet tā tiek fiksēta rādīja pasē, kas ir darbības programmas “Izaugsme un nodarbinātība” obligāts pielikums un ir pieejama tīmekļa vietnē https://www.esfondi.lv/normativie-akti-un-dokumenti/2014-2020-planosanas-periods.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Finansējuma saņēmējs, ziņojot par šo noteikumu 9.1.2. vai 9.1.3. apakšpunktā minētā iznākuma rādītāja vērtības sasniegšanu, ja tā ir mazāka par šo noteikumu 12.punktā noteikto minimālo procentuālo apjomu, objektīvi pamatotos gadījumos var ierosināt grozījumus projektos un:</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Ministru kabineta 2015. gada 10. novembra noteikumu Nr. 645 "Darbības programmas "Izaugsme un nodarbinātība" 5.6.2. specifiskā atbalsta mērķa "Teritoriju revitalizācija, reģenerējot degradētās teritorijas atbilstoši pašvaldību integrētajām attīstības programmām" un 13.1.3. specifiskā atbalsta mērķa "Atveseļošanas pasākumi vides un reģionālās attīstības jomā" 13.1.3.3. pasākuma "Teritoriju revitalizācija uzņēmējdarbības veicināšanai pašvaldībās" īstenošanas noteikumi" (turpmāk - noteikumi) 9.1. apakšpunktā minēto iznākuma rādītāju vērtības ir attiecināmas, ja tās ir saistītas ar komersantiem, kas guvuši labumu no projekta ietvaros veiktajām investīcijām infrastruktūrā (saskaņā ar šo noteikumu 10.1.apakšpunktu), lūdzam izvērtēt grozījumu ietekmi uz minēto komersantu atlasi. Lūdzam papildināt anotāciju ar izvērtējumu, vai un kā minētie grozījumi būtu ietekmējuši noteiktu komersantu atlasi (attiecībā uz komersantiem, kas saskaņā ar noteikumu 33.punktu tika izvēlēti atklātā, caurskatāmā un nediskriminējošā veidā), vai grozījumi neietekmē un nepārkāpj vienlīdzības principu attiecībā uz minēto komersantu atlasi (vai prasību maiņa komersantiem par noteiktu darba vietu skaita nodrošināšanu vai finanšu ieguldījumu veikšanu varētu būt ietekmējusi to komersantu loku, kas pieteikušies uz īpašumu nomas vai apsaimniekošanas tiesībām).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iebildums attiecināms uz tiem projektiem, kuros piešķirts komercdarbības atbalsts atbilstoši Komisijas 2014. gada 17. jūnija Regulas (ES) Nr. 651/2014, ar ko noteiktas atbalsta kategorijas atzīst par saderīgām ar iekšējo tirgu, piemērojot Līguma 107. un 108. pantu (turpmāk – regula Nr. 651/2014) 56. pantam, skaidrojam, ka noteikumu projektā iekļautās normas neietekmē un nemaina esošajos projektos uzņemtās saistības attiecībā uz komercdarbības atbalsta nosacījumiem un komersantu kā nomnieku atlases procedūras principiem. MK noteikumu Nr. 645 ietvaros 56. panta atbalsts piešķirts 50 projektos no kopumā 127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MK noteikumu Nr. 645 33. punkts izriet no Regulas Nr. 651/2014 56. panta 3. punkta prasības infrastruktūras pieejamību ieinteresētajiem lietotājiem nodrošināt atklātā, pārredzamā un nediskriminējošā veidā. Attiecīgi projektu ietvaros izveidotā infrastruktūra publisku nomas izsoļu veidā, atklātā, pārredzamā un nediskriminējošā procedūrā, tiek piedāvāta komersantiem – potenciālajiem nomniekiem un šāda prasība ir jāievēro visā projekta dzīves ciklā neatkarīgi no tā, vai projektā tiek vai netiek piemērots rādītāju kompensēšanas mehānisms. Regulas Nr. 651/20214 56. pants neparedz, ka komersantiem ir jānodrošina konkrēti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paredzētais  neietekmē un nepārkāpj vienlīdzības principu attiecībā uz minēto komersantu atlasi, jo komersanti, kas pieteikušies uz īpašumu nomas vai apsaimniekošanas tiesībām, tiek izvēlēti publiskas izsoles rezultātā un šis princips arī turpmāk netiek mainīts. Noteikumu projektam nav ietekmes arī uz nomas maksas apmēru, kas jāmaksā nomniekam.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MK noteikumi Nr. 645 un tajos plānotās rādītāju vērtības ir izstrādāti periodā pirms iepriekš neprognozētajiem satricinājumiem  makroekonomiskajā un ģeopolitiskajā vidē (Covid-19 infekcijas pandēmija, Krievijas pilna mēroga karš Ukrainā, būtisks EURIBOR procentu likmju un inflācijas pieaugums, krīze Tuvo Austrumu reģionā). Kā liecina Centrālās finanšu un līgumu aģentūras sniegtā informācija un informācija no finansējuma saņēmējiem, tieši šīs izmaiņas makroekonomiskajā un ģeopolitiskajā vidē ir mazinājušas komersantu spēju sasniegt nepieciešamos rādītājus, kā rezultātā nomas izsoles beidzas bez rezultāta.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piedāvātais kompensācijas mehānisms ir risinājums tam, lai nomas infrastruktūrai varētu piesaistīt nomnieku, samazinot prasības rādītāju sasniegšanā. Ieguvums joprojām ir nomas infrastruktūras lietderīga izmantošana un uzņēmējdarbības vides attīstība, pretstatā situācijai, ja izbūvētās nomas ēkas stāv tukšas un netiek izmantotas sasniedzamā rādītāju līmeņa dēļ.</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Finansējuma saņēmējs, ziņojot par šo noteikumu 9.1.2. vai 9.1.3. apakšpunktā minētā iznākuma rādītāja vērtības sasniegšanu, ja tā ir mazāka par šo noteikumu 12.punktā noteikto minimālo procentuālo apjomu, objektīvi pamatotos gadījumos var ierosināt grozījumus projektos un:</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Finansējuma saņēmējs, ziņojot par šo noteikumu 9.1.2. vai 9.1.3. apakšpunktā minētā iznākuma rādītāja vērtības sasniegšanu, ja tā ir mazāka par šo noteikumu 12.punktā noteikto minimālo procentuālo apjomu, objektīvi pamatotos gadījumos var ierosināt grozījumus projektos un:</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w:t>
            </w:r>
            <w:r w:rsidR="00000000" w:rsidRPr="00000000" w:rsidDel="00000000">
              <w:rPr>
                <w:vertAlign w:val="superscript"/>
                <w:rtl w:val="0"/>
              </w:rPr>
              <w:t xml:space="preserve">1</w:t>
            </w:r>
            <w:r w:rsidR="00000000" w:rsidRPr="00000000" w:rsidDel="00000000">
              <w:rPr>
                <w:rtl w:val="0"/>
              </w:rPr>
              <w:t xml:space="preserve"> punktā paredzēta iespēja objektīvi pamatotos gadījumos ierosināt projekta grozījumus un piemērot iznākuma rādītāju savstarpējās aizstāšanas (kompensēšanas) mehānismu. Tomēr nedz no minētās normas, nedz anotācijā sniegtā skaidrojuma nav izprotams, kādi apstākļi uzskatāmi par objektīvi pamatotiem gadījumiem un pēc kādiem kritērijiem tie tiks izvērtēti.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nenoteiktība var radīt atšķirīgu regulējuma piemērošanas praksi salīdzināmos gadījumos. Ņemot vērā minēto, lūdzam precizēt noteikumu projektu un papildināt anotāciju ar skaidrojumu par apstākļiem un kritērijiem, atbilstoši kuriem piemērojams 12.</w:t>
            </w:r>
            <w:r w:rsidR="00000000" w:rsidRPr="00000000" w:rsidDel="00000000">
              <w:rPr>
                <w:vertAlign w:val="superscript"/>
                <w:rtl w:val="0"/>
              </w:rPr>
              <w:t xml:space="preserve">1</w:t>
            </w:r>
            <w:r w:rsidR="00000000" w:rsidRPr="00000000" w:rsidDel="00000000">
              <w:rPr>
                <w:rtl w:val="0"/>
              </w:rPr>
              <w:t xml:space="preserve"> punktā paredzētais mehānisms.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papildināto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Finansējuma saņēmējs, ziņojot par šo noteikumu 9.1.2. vai 9.1.3. apakšpunktā minētā iznākuma rādītāja vērtības sasniegšanu, ja tā ir mazāka par šo noteikumu 12.punktā noteikto minimālo procentuālo apjomu, objektīvi pamatotos gadījumos var ierosināt grozījumus projektos un:</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MKN grozījumu pamatojuma aprakstā labot atsauci uz Eiropas Savienības struktūrfondu un Kohēzijas fonda 2014.— 2020.gada plānošanas perioda vadības 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anotāciju ar grozījumu ietekmi uz tautsaimniecību.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papildināto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paredzētie grozījumi  iekļauj jaunu 12.</w:t>
            </w:r>
            <w:r w:rsidR="00000000" w:rsidRPr="00000000" w:rsidDel="00000000">
              <w:rPr>
                <w:vertAlign w:val="superscript"/>
                <w:rtl w:val="0"/>
              </w:rPr>
              <w:t xml:space="preserve">1 </w:t>
            </w:r>
            <w:r w:rsidR="00000000" w:rsidRPr="00000000" w:rsidDel="00000000">
              <w:rPr>
                <w:rtl w:val="0"/>
              </w:rPr>
              <w:t xml:space="preserve">punktu, kas attieksies uz visiem specifiskā atbalsta mērķa reģioniem, ne tikai pierobežas reģionu, lūdzam iekļaut detalizētāku pamatojumu noteikumu projekta anotācijā attiecībā uz nepieciešamību visiem reģioniem nodrošināt iespējas jaunradīto darba vietu un nefinanšu investīciju rādītāju kompensēšanai, ne tikai attiecībā uz Latgales plānošanas reģiona teritorijām. Papildus, lūdzam anotācijā iekļaut konkrētus piemērus attiecībā tieši uz šo specifisko atbalsta mērķi, kādā tieši veidā anotācijā minētie riski un  izmaiņas makroekonomiskajā un ģeopolitiskajā vidē ir ietekmējuši konkrētos komersantus tieši šī specifiskā atbalsta mērķa sasniegšanas kontekstā (piemēram, iekļaut piemērus, kādi tieši apstākļi ietekmēja konkrēta reģiona komersantu spējas nodrošināt jaunas darba vietas vai konkrētu finanšu investīciju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noteikumu projekta anotācijā ietvert skaidrojumu, vai izstrādātie grozījumi (attiecībā uz rādītāju kompensēšanu) nav uzskatāmi par būtiskiem (t.i., tādi, kas ietekmē darbības veidu, mērķus vai īstenošanas nosacījumus, tādējādi traucējot tās sākotnējo mērķu sasniegšanu), īpaši attiecībā uz tiem projektiem, kuru starpā tiks veikta rādītāju kompensēšana (proti, vai netiks būtiski ietekmēta to projektu rādītāju un mērķu sasniegšana, no kuriem tiks kompensēts iztrūkums un pārvirzīti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papildināto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Finansējuma saņēmējs, ziņojot par šo noteikumu 9.1.2. vai 9.1.3. apakšpunktā minētā iznākuma rādītāja vērtības sasniegšanu, ja tā ir mazāka par šo noteikumu 12.punktā noteikto minimālo procentuālo apjomu, objektīvi pamatotos gadījumos var ierosināt grozījumus projektos un:</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punkts paredz iespēju finansējuma saņēmējam, ziņojot par noteikumu 9.1.apakšpunktā minētā iznākumu rādītāju vērtības sasniegšanu, ja tā ir mazāka par noteikumu  12.punktā noteikto minimālo procentuālo apjomu, objektīvi pamatotos gadījumos ierosināt grozījumus projektos un aizstāt (savstarpēji kompensēt) projektā iztrūkstošos rādītājus, lūdzam papildināt anotāciju ar izvērstāku skaidrojumu, kā un pēc kādiem kritērijiem tiks vērtēti minētie gadījumi un pamatojums rādītāju aizstāšanai.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papildināto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Finansējuma saņēmējs, ziņojot par šo noteikumu 9.1.2. vai 9.1.3. apakšpunktā minētā iznākuma rādītāja vērtības sasniegšanu, ja tā ir mazāka par šo noteikumu 12.punktā noteikto minimālo procentuālo apjomu, objektīvi pamatotos gadījumos var ierosināt grozījumus projektos un:</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48.3.1. satiksmes pārvadu, ielu vai ceļu (tai skaitā ar grants segumu, ja būvē jaunu ceļu, caurteku) un ar to saistītās infrastruktūras būvniecība, pārbūve vai atjaunošana pašvaldības noteiktajā degradētajā teritorijā, kas ir atjaunota vai kuru plānots atjaunot projekta ietvaros, vai funkcionāls savienojums, kas nepārsniedz divu kilometru garumu līdz tai (neieskaitot komersantam apsaimniekošanā nodoto ceļa posmu), tai skaitā lietus ūdens kanalizācijas infrastruktūras un ielu apgaismojuma būvniecība, pārbūve vai atjaunošana. Funkcionālā savienojuma izmaksas ir attiecināmas arī tad, ja starp degradēto teritoriju, kas ir atjaunota vai kuru plānots atjaunot projekta ietvaros, un funkcionālo savienojumu ir ielas vai ceļa posms, kas nav garāks par 400 metriem, izņemot gadījumu, ja funkcionālais savienojums ir vienīgā alternatīva nokļūšanai no degradētās teritorijas, kas ir atjaunota vai kuru plānots atjaunot projekta ietvaros, līdz publisko ceļu tīklam vai funkcionālais savienojums ir turpinājums tās pašas ielas vai tā paša ceļa posmam, kas nav garāks par 500 metriem nacionālas un reģionālas nozīmes attīstības centros (pilsētās) un 1500 metriem novada teritorijā ārpus nacionālas un reģionālas nozīmes attīstības centriem;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anotācijā ar skaidrojumu par iemesliem un pamatojumu nepieciešamībai veikt grozījumus noteikumu 48.3.1. apakšpunktā, kā arī lūdzam anotācijā paskaidrot, vai šo grozījumu rezultātā radušās izmaksas tiek nosegtas esošo izmaksu ietvaros, ņemot vērā, ka apstiprinātie projekti tika īstenoti Eiropas Savienības struktūrfondu un Kohēzijas fonda 2014.-2020.gada plānošanas perioda ietvaros un izdevumu attiecināmības periods ir noslēdzies, vai arī, ja tas paredz papildus izmaksas, norādīt, no kādiem līdzekļiem tās tiks segtas.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ar MK noteikumu grozījumiem tiek precizēti nosacījumi attiecībā uz pieļaujamo pārrāvumu starp funkcionālo savienojumu un degradēto teritoriju, kas ir atjaunota (projekta iesniedzēja noteikto uzņēmējdarbības teritoriju), un piemēroti tādi paši nosacījumi kā Eiropas Savienības 2021.–2027. gada plānošanas perioda īstenoto uzņēmējdarbības publiskās infrastruktūras pasākumu ietvaros, tādējādi tiek paplašināts rādiuss ap projekta teritoriju, kurā esošie komersanti var būt potenciālie projekta rādītāju devēji, ja tie gūst labumu no projekta ietvaros veiktajiem ieguldījumiem. Vienlaikus skaidrojam, ka šo grozījumu rezultātā papildu izmaksas projektu ietvaros neradīsies, jo tiek palielināts tikai iespējamā pārrāvuma starp funkcionālo savienojumu un degradēto teritoriju, kas ir atjaunota,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piedāvā elastīgāku risinājumu rādītāju sasniegšanā un t.sk. izmaksu attiecināšanā. Piemēram, situācijā, ja komersants, kurš atradās 200 m attālumā no projektā atjaunotā ceļa, uz rādītāju ziņošanas brīdi vairs neeksistē, bet 400 m attālumā savu darbību ir uzsācis cits komersants, kurš arī izmanto projekta ietvaros atjaunoto ceļa posmu un ir pamatota cēloņsakarība starp projekta ieguldījumiem un komersanta rādītājiem, tad turpmāk šāda komersanta rādītāji var tikt attiecināti un arī projekta izmaksas ir attiecināmas.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48.3.1. satiksmes pārvadu, ielu vai ceļu (tai skaitā ar grants segumu, ja būvē jaunu ceļu, caurteku) un ar to saistītās infrastruktūras būvniecība, pārbūve vai atjaunošana pašvaldības noteiktajā degradētajā teritorijā, kas ir atjaunota vai kuru plānots atjaunot projekta ietvaros, vai funkcionāls savienojums, kas nepārsniedz divu kilometru garumu līdz tai (neieskaitot komersantam apsaimniekošanā nodoto ceļa posmu), tai skaitā lietus ūdens kanalizācijas infrastruktūras un ielu apgaismojuma būvniecība, pārbūve vai atjaunošana. Funkcionālā savienojuma izmaksas ir attiecināmas arī tad, ja starp degradēto teritoriju, kas ir atjaunota vai kuru plānots atjaunot projekta ietvaros, un funkcionālo savienojumu ir ielas vai ceļa posms, kas nav garāks par 400 metriem, izņemot gadījumu, ja funkcionālais savienojums ir vienīgā alternatīva nokļūšanai no degradētās teritorijas, kas ir atjaunota vai kuru plānots atjaunot projekta ietvaros, līdz publisko ceļu tīklam vai funkcionālais savienojums ir turpinājums tās pašas ielas vai tā paša ceļa posmam, kas nav garāks par 500 metriem nacionālas un reģionālas nozīmes attīstības centros (pilsētās) un 1500 metriem novada teritorijā ārpus nacionālas un reģionālas nozīmes attīstības centriem;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26-TA-1350</w:t>
    </w:r>
    <w:r>
      <w:br/>
    </w:r>
    <w:r w:rsidR="00000000" w:rsidRPr="00000000" w:rsidDel="00000000">
      <w:rPr>
        <w:rtl w:val="0"/>
      </w:rPr>
      <w:t xml:space="preserve">13.08.2026. 12.37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26-TA-1350</w:t>
    </w:r>
    <w:r>
      <w:br/>
    </w:r>
    <w:r w:rsidR="00000000" w:rsidRPr="00000000" w:rsidDel="00000000">
      <w:rPr>
        <w:rtl w:val="0"/>
      </w:rPr>
      <w:t xml:space="preserve">13.08.2026. 12.37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Izziņa_26-TA-1350.docx</dc:title>
</cp:coreProperties>
</file>

<file path=docProps/custom.xml><?xml version="1.0" encoding="utf-8"?>
<Properties xmlns="http://schemas.openxmlformats.org/officeDocument/2006/custom-properties" xmlns:vt="http://schemas.openxmlformats.org/officeDocument/2006/docPropsVTypes"/>
</file>