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"Nacionālais rehabilitācijas centrs "Vaivari" peļņas daļu par 2023.gadu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"Nacionālais rehabilitācijas centrs "Vaivari"" (turpmāk – kapitālsabiedrība) nemaksā dividendes (360 250 euro)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lemts par dividendēm no peļņas par 2023.gadu nevis par atļauju noteikt vidēja termiņa darbības stratēģijā nākamajam periodam atšķirīgu prognozējamo dividendēs izmaksājamo peļņas daļu, lūdzam rīkojuma 1. punktā atsaukties uz MK noteikumu 9.1.3. punktu, kā arī precizēt rīkojuma punktā tekstu, norādot, ka tiek noteikta atšķirīga dividendēs izmaksājamā peļņas daļa, t.i., 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9.1.3. punktu noteikt, ka valsts sabiedrība ar ierobežotu atbildību "Nacionālais rehabilitācijas centrs "Vaivari"" (turpmāk – kapitālsabiedrība) maksā atšķirīgu dividendēs izmaksājamo peļņas daļu, nosakot dividendes 0 procentu apmērā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"Nacionālais rehabilitācijas centrs “Vaivari”” (vienotais reģistrācijas Nr. 40003273900),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562 891 euro apmērā tiek novirzīta kapitālsabiedrības investīcijām – ambulatorās ēkas būvniecībai.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"Nacionālais rehabilitācijas centrs “Vaivari”” (vienotais reģistrācijas Nr. 40003273900),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"Nacionālais rehabilitācijas centrs "Vaivari"" (turpmāk – kapitālsabiedrība) nemaksā dividendes (360 250 euro)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un anotācijā norādīto atsauci uz MK noteikumiem Nr. 72. Norādām, ka MK noteikumu Nr. 72 6. punkts ir attiecināms uz atšķirīgo prognozējamo dividendēs izmaksājamo peļņas daļu, kas tiek ietverta kapitālsabiedrības stratēģijā, taču no rīkojuma projekta un anotācijas nav secināms, ka sabiedrība plāno izdot vai veikt grozījumus sabiedrības stratēģijā, tādēļ aicinām svītrot atsauci uz minēto punktu gan rīkojuma projektā, gan anotācijā. Vienlaikus aicinām, rīkojuma projektu un anotāciju papildināt ar MK noteikumu Nr. 72 9.1.3. punktu, tādējādi norādot, ka tiek lemts par dividenžu apmēra samazināšanu (nemaksāšanu), nevis par vidēja termiņa darbības stratēģijas nākamā perioda plānoto dividenžu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"Nacionālais rehabilitācijas centrs “Vaivari”” (vienotais reģistrācijas Nr. 40003273900),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562 891 euro apmērā tiek novirzīta kapitālsabiedrības investīcijām – ambulatorās ēkas būvniecībai.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neatsaucoties uz MK noteikumu Nr. 72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"Nacionālais rehabilitācijas centrs “Vaivari”” (vienotais reģistrācijas Nr. 40003273900),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tiek novirzīta kapitālsabiedrības vidēja termiņa darbības stratēģijā plānotajām investīcijām – ambulatorās ēkas būvniecības līdzfinansēšanai.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kapitālsabiedrībai nav spēkā esoša stratēģija, lūdzam dzēst no rīkojuma punkta atsauci uz vidēja termiņa darbības stratēģiju.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562 891 euro apmērā tiek novirzīta kapitālsabiedrības investīcijām – ambulatorās ēkas būvniecībai.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"Nacionālais rehabilitācijas centrs “Vaivari”” (vienotais reģistrācijas Nr. 40003273900),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562 891 euro apmērā tiek novirzīta kapitālsabiedrības investīcijām – ambulatorās ēkas būvniecībai.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562 891 euro apmērā tiek novirzīta kapitālsabiedrības investīcijām – ambulatorās ēkas būvniecībai.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lemts par dividendēm no 2023.gada peļņas nevis par vidēja termiņa darbības stratēģijas nākamā perioda plānoto dividenžu apjomu, lūdzam atsaukties uz Ministru kabineta 2022.gada 25.janvāra noteikumu Nr.72 ”Kārtība, kādā tiek prognozēti, noteikti un veikti maksājumi par valsts kapitāla izmantošanu” 9.1.3.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"Nacionālais rehabilitācijas centrs “Vaivari”” (vienotais reģistrācijas Nr. 40003273900),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562 891 euro apmērā tiek novirzīta kapitālsabiedrības investīcijām – ambulatorās ēkas būvniecībai.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neatsaucoties uz MK noteikumu Nr. 72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ka aizņemtais kapitāls būtu dārgāks vai arī papildināt anotāciju ar informāciju, kas pamato šo apgalvojumu. Norādām, ka valsts ieguldītajam kapitālam pašu kapitālā arī tiek prasīta noteikta pašu kapitāla atdeves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tekstu</w:t>
            </w:r>
            <w:r w:rsidR="00000000" w:rsidRPr="00000000" w:rsidDel="00000000">
              <w:rPr>
                <w:rtl w:val="0"/>
              </w:rPr>
              <w:t xml:space="preserve"> (Anotācijas (ex-ante) Pašreizējās situācijas, problēmas un risinājumi apraksta 1.3 sadaļas pirmspēdējā rindkopā), ka aizņemtais kapitāls būtu dārgāks.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kapitālsabiedrībai šobrīd nav spēkā esoša vidēja termiņa darbības stratēģija, tad nav iespējams pilnvērtīgi izvērtēt šāda lēmuma ietekmi uz kapitālsabiedrības ilgtspēju un stratēģisko mērķu sasniegšanu. Kapitālsabiedrības iepriekšējā vidēja termiņa darbības stratēģija 2020.-2023.gadam ietvēra vairākus investīciju projektus, kuru realizēšana bija plānota pēc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iepriekšējā vidēja termiņa darbības stratēģija paredzēja investīcijas ambulatorās ēkas būvniecībā 2 936 450 EUR apmērā no dividendēs neizmaksātās peļņas un pašu līdzekļiem, tomēr faktiskais kapitālsabiedrības rīcībā atstātās peļņas apjoms ir bijis būtiski lielāks nekā tas bija plānots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papildināt anotāciju ar informāciju par kapitālsabiedrības aktuālo investīciju projektu - ambulatorās ēkas būvniecību, it īpaši, par ambulatorās ēkas būvniecības īstenošanas gaitu ar precīzām būvniecības projekta izmaksām un to finansēšanas avotiem pa gadiem, kā arī ar vēl nepieciešamajiem finanšu līdzekļiem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tekstu</w:t>
            </w:r>
            <w:r w:rsidR="00000000" w:rsidRPr="00000000" w:rsidDel="00000000">
              <w:rPr>
                <w:rtl w:val="0"/>
              </w:rPr>
              <w:t xml:space="preserve"> (Anotācijas (ex-ante) Pašreizējās situācijas, problēmas un risinājumi apraksta 1.3 sadaļas jauna desmitā rindkopa) </w:t>
            </w:r>
            <w:r w:rsidR="00000000" w:rsidRPr="00000000" w:rsidDel="00000000">
              <w:rPr>
                <w:b w:val="1"/>
                <w:rtl w:val="0"/>
              </w:rPr>
              <w:t xml:space="preserve">ar skaidrojumu par investīciju plāna izpildi un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2024. gadā turpina veikt ieguldījumus un aktīvi piedalās investīciju plāna izpildē, tai skaitā nodrošina jaunās Multifunkcionālās ambulatorās rehabilitācijas ēkas būvniecību. Aktuālā investīciju projektu īstenošana ar precīzām būvniecības projekta izmaksām un to finansēšanas avotiem pa gadiem ir norādīta pielikumā (skatīt Pielikumu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izmaksu pieauguma iemeslus ambulatorās ēkas būvniecībai no sākotnēji 1 656 401 EUR līdz 5 004 559,49 EUR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tekstu</w:t>
            </w:r>
            <w:r w:rsidR="00000000" w:rsidRPr="00000000" w:rsidDel="00000000">
              <w:rPr>
                <w:rtl w:val="0"/>
              </w:rPr>
              <w:t xml:space="preserve"> (Anotācijas (ex-ante) Problēmas un risinājumi Problēmas apraksts) </w:t>
            </w:r>
            <w:r w:rsidR="00000000" w:rsidRPr="00000000" w:rsidDel="00000000">
              <w:rPr>
                <w:b w:val="1"/>
                <w:rtl w:val="0"/>
              </w:rPr>
              <w:t xml:space="preserve">ar skaidrojumu par izmaksu pieaugumu </w:t>
            </w:r>
            <w:r w:rsidR="00000000" w:rsidRPr="00000000" w:rsidDel="00000000">
              <w:rPr>
                <w:rtl w:val="0"/>
              </w:rPr>
              <w:t xml:space="preserve">un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izmaksu sadārdzinājums skaidrojams ar to, ka: 1) uzsākot jaunās Multifunkcionālās ambulatorās rehabilitācijas ēkas būvdarbu projektēšanas darbus, ēkas apkures nodrošināšanai tika paredzēts pieslēgties esošajam NRC “Vaivari” gāzes katlam. </w:t>
            </w:r>
            <w:r w:rsidR="00000000" w:rsidRPr="00000000" w:rsidDel="00000000">
              <w:rPr>
                <w:b w:val="1"/>
                <w:u w:val="single"/>
                <w:rtl w:val="0"/>
              </w:rPr>
              <w:t xml:space="preserve">Mainoties ģeopolitiskai situācijai</w:t>
            </w:r>
            <w:r w:rsidR="00000000" w:rsidRPr="00000000" w:rsidDel="00000000">
              <w:rPr>
                <w:b w:val="1"/>
                <w:rtl w:val="0"/>
              </w:rPr>
              <w:t xml:space="preserve">, problēmām ar gāzes cenu un tās piegādēm, būvprojekts tika pārstrādāts un papildināts ar atsevišķu siltumapgādes sistēmas sadaļu, paredzot gāzes apkurei alternatīvu ēkas apkures variantu- zemes siltumsūkņus;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līguma izbeigšanas ar iepriekšējo būvnieku tika rīkots jauns iepirkums un 2023. gada 21. decembrī tika noslēgts būvdarbu veikšanas līgums ar pilnsabiedrību „Guliver &amp; Velve-AE”, ar piedāvāto līgumcenu </w:t>
            </w:r>
            <w:r w:rsidR="00000000" w:rsidRPr="00000000" w:rsidDel="00000000">
              <w:rPr>
                <w:b w:val="1"/>
                <w:rtl w:val="0"/>
              </w:rPr>
              <w:t xml:space="preserve">4 630 701,46 EUR</w:t>
            </w:r>
            <w:r w:rsidR="00000000" w:rsidRPr="00000000" w:rsidDel="00000000">
              <w:rPr>
                <w:rtl w:val="0"/>
              </w:rPr>
              <w:t xml:space="preserve"> ar PVN. </w:t>
            </w:r>
            <w:r w:rsidR="00000000" w:rsidRPr="00000000" w:rsidDel="00000000">
              <w:rPr>
                <w:b w:val="1"/>
                <w:rtl w:val="0"/>
              </w:rPr>
              <w:t xml:space="preserve">Izmaksu sadārdzinājums bija radies pamatojoties uz ģeopolitiskās situācijas radīto ietekmi uz būvniecības cenu pieaugumu, papildus  siltumsūkņu apkures risinājumu.  Ja  būvdarbus veiktu iepriekšējais būvnieks, tad tas visticamāk  nespētu uzbūvēt  ēku par sākotnējā būvdarbu līguma noteikto līgumcenu;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jaunās ēkas būvniecības līguma nosacījumu izpildi, tika veikta būvdarbu zonas un būvobjektā esošo inženiertīklu apsekošana, kuras rezultātā tika konstatēts, ka būvdarbu zonā atrodas esoša funkcionējoša siltumtrase. Tika konstatēts, ka siltumtrasi pašlaik nevar demontēt, jo ir apkures sezona un tā ir pieslēgta pie funkcionējošas skolas ēkas, kas atrodas ārpus būvlaukuma zonas, tāpēc jāveic tās pārnešana. Pēc siltumtrases atrakšanas tika konstatēts, ka būvbedres atbalsta rievsienas izbūves darbu uzsākšana un būvbedres rakšanas darbu veikšana ir iespējama tikai pēc esošās siltumtrases iznešanas no būvdarbu zonas, jo būvlaukuma teritorija ir pārāk maza un nav iespējams risinājums ar pagaidu siltumtrases atstāšanu vecajā vietā. Līdz ar to, ņemot vērā, ka augstāk minētās veicamo darbu izmaiņas ietvēra darbus, kas nebija iekļauti noslēgtā līguma darbu apjomos un tos sākotnēji nebija iespējams konstatēt, tika pagarināts līguma izpildes termiņš par 6 (sešām) kalendāra nedēļām un līgumcena palielināta līdz  </w:t>
            </w:r>
            <w:r w:rsidR="00000000" w:rsidRPr="00000000" w:rsidDel="00000000">
              <w:rPr>
                <w:b w:val="1"/>
                <w:rtl w:val="0"/>
              </w:rPr>
              <w:t xml:space="preserve">4 687 029.49 EUR</w:t>
            </w:r>
            <w:r w:rsidR="00000000" w:rsidRPr="00000000" w:rsidDel="00000000">
              <w:rPr>
                <w:rtl w:val="0"/>
              </w:rPr>
              <w:t xml:space="preserve">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24-TA-1696</w:t>
    </w:r>
    <w:r>
      <w:br/>
    </w:r>
    <w:r w:rsidR="00000000" w:rsidRPr="00000000" w:rsidDel="00000000">
      <w:rPr>
        <w:rtl w:val="0"/>
      </w:rPr>
      <w:t xml:space="preserve">04.10.2024. 13.01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24-TA-1696</w:t>
    </w:r>
    <w:r>
      <w:br/>
    </w:r>
    <w:r w:rsidR="00000000" w:rsidRPr="00000000" w:rsidDel="00000000">
      <w:rPr>
        <w:rtl w:val="0"/>
      </w:rPr>
      <w:t xml:space="preserve">04.10.2024. 13.01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Izziņa_24-TA-1696.docx</dc:title>
</cp:coreProperties>
</file>

<file path=docProps/custom.xml><?xml version="1.0" encoding="utf-8"?>
<Properties xmlns="http://schemas.openxmlformats.org/officeDocument/2006/custom-properties" xmlns:vt="http://schemas.openxmlformats.org/officeDocument/2006/docPropsVTypes"/>
</file>