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88A" w:rsidRDefault="00A0188A" w:rsidP="00A0188A">
      <w:pPr>
        <w:rPr>
          <w:rFonts w:ascii="Calibri" w:eastAsia="Times New Roman" w:hAnsi="Calibri" w:cs="Calibri"/>
          <w:sz w:val="22"/>
          <w:szCs w:val="22"/>
          <w:lang w:val="en-US"/>
        </w:rPr>
      </w:pPr>
      <w:bookmarkStart w:id="0" w:name="_MailOriginal"/>
      <w:bookmarkStart w:id="1" w:name="_GoBack"/>
      <w:bookmarkEnd w:id="1"/>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Uldis Rudziks &lt;Uldis.Rudziks@TM.GOV.LV&gt; </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Thursday, March 18, 2021 3:29 PM</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Aizsardzības ministrija &lt;Kanceleja@mod.gov.lv&gt;</w:t>
      </w:r>
      <w:r>
        <w:rPr>
          <w:rFonts w:ascii="Calibri" w:eastAsia="Times New Roman" w:hAnsi="Calibri" w:cs="Calibri"/>
          <w:sz w:val="22"/>
          <w:szCs w:val="22"/>
          <w:lang w:val="en-US"/>
        </w:rPr>
        <w:br/>
      </w:r>
      <w:r>
        <w:rPr>
          <w:rFonts w:ascii="Calibri" w:eastAsia="Times New Roman" w:hAnsi="Calibri" w:cs="Calibri"/>
          <w:b/>
          <w:bCs/>
          <w:sz w:val="22"/>
          <w:szCs w:val="22"/>
          <w:lang w:val="en-US"/>
        </w:rPr>
        <w:t>Cc:</w:t>
      </w:r>
      <w:r>
        <w:rPr>
          <w:rFonts w:ascii="Calibri" w:eastAsia="Times New Roman" w:hAnsi="Calibri" w:cs="Calibri"/>
          <w:sz w:val="22"/>
          <w:szCs w:val="22"/>
          <w:lang w:val="en-US"/>
        </w:rPr>
        <w:t xml:space="preserve"> Vita Upeniece &lt;Vita.Upeniece@mod.gov.lv&gt;; Edgars Svarenieks &lt;Edgars.Svarenieks@mod.gov.lv&gt;</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Par </w:t>
      </w:r>
      <w:proofErr w:type="spellStart"/>
      <w:r>
        <w:rPr>
          <w:rFonts w:ascii="Calibri" w:eastAsia="Times New Roman" w:hAnsi="Calibri" w:cs="Calibri"/>
          <w:sz w:val="22"/>
          <w:szCs w:val="22"/>
          <w:lang w:val="en-US"/>
        </w:rPr>
        <w:t>likumprojekta</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Grozījumi</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Latvijas</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Republikas</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Zemessardzes</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likumā</w:t>
      </w:r>
      <w:proofErr w:type="spellEnd"/>
      <w:r>
        <w:rPr>
          <w:rFonts w:ascii="Calibri" w:eastAsia="Times New Roman" w:hAnsi="Calibri" w:cs="Calibri"/>
          <w:sz w:val="22"/>
          <w:szCs w:val="22"/>
          <w:lang w:val="en-US"/>
        </w:rPr>
        <w:t xml:space="preserve">" (VSS-987) </w:t>
      </w:r>
      <w:proofErr w:type="spellStart"/>
      <w:r>
        <w:rPr>
          <w:rFonts w:ascii="Calibri" w:eastAsia="Times New Roman" w:hAnsi="Calibri" w:cs="Calibri"/>
          <w:sz w:val="22"/>
          <w:szCs w:val="22"/>
          <w:lang w:val="en-US"/>
        </w:rPr>
        <w:t>saskaņošanu</w:t>
      </w:r>
      <w:proofErr w:type="spellEnd"/>
    </w:p>
    <w:p w:rsidR="00A0188A" w:rsidRDefault="00A0188A" w:rsidP="00A0188A"/>
    <w:p w:rsidR="00A0188A" w:rsidRDefault="00A0188A" w:rsidP="00A0188A">
      <w:pPr>
        <w:shd w:val="clear" w:color="auto" w:fill="FFFFFF"/>
        <w:jc w:val="both"/>
        <w:rPr>
          <w:rFonts w:ascii="Calibri" w:hAnsi="Calibri" w:cs="Calibri"/>
          <w:color w:val="000000"/>
          <w:sz w:val="22"/>
          <w:szCs w:val="22"/>
        </w:rPr>
      </w:pPr>
      <w:r>
        <w:rPr>
          <w:rFonts w:eastAsia="Times New Roman"/>
          <w:color w:val="000000"/>
        </w:rPr>
        <w:t>Labdien. </w:t>
      </w:r>
    </w:p>
    <w:p w:rsidR="00A0188A" w:rsidRDefault="00A0188A" w:rsidP="00A0188A">
      <w:pPr>
        <w:shd w:val="clear" w:color="auto" w:fill="FFFFFF"/>
        <w:jc w:val="both"/>
        <w:rPr>
          <w:rFonts w:ascii="Calibri" w:hAnsi="Calibri" w:cs="Calibri"/>
          <w:color w:val="000000"/>
          <w:sz w:val="22"/>
          <w:szCs w:val="22"/>
        </w:rPr>
      </w:pPr>
      <w:r>
        <w:rPr>
          <w:rFonts w:eastAsia="Times New Roman"/>
          <w:color w:val="000000"/>
        </w:rPr>
        <w:t> </w:t>
      </w:r>
    </w:p>
    <w:p w:rsidR="00A0188A" w:rsidRDefault="00A0188A" w:rsidP="00A0188A">
      <w:pPr>
        <w:shd w:val="clear" w:color="auto" w:fill="FFFFFF"/>
        <w:ind w:firstLine="709"/>
        <w:jc w:val="both"/>
        <w:rPr>
          <w:rFonts w:ascii="Calibri" w:hAnsi="Calibri" w:cs="Calibri"/>
          <w:color w:val="000000"/>
          <w:sz w:val="22"/>
          <w:szCs w:val="22"/>
        </w:rPr>
      </w:pPr>
      <w:r>
        <w:rPr>
          <w:rFonts w:eastAsia="Times New Roman"/>
          <w:color w:val="000000"/>
          <w:bdr w:val="none" w:sz="0" w:space="0" w:color="auto" w:frame="1"/>
          <w:shd w:val="clear" w:color="auto" w:fill="FFFFFF"/>
        </w:rPr>
        <w:t xml:space="preserve">Tieslietu ministrijā saskaņā ar Ministru kabineta 2009. gada 7. aprīļa noteikumu Nr.300 „Ministru kabineta kārtības rullis” 101. un 103. punktu ir izskatīts Aizsardzības </w:t>
      </w:r>
      <w:r>
        <w:rPr>
          <w:rFonts w:eastAsia="Times New Roman"/>
          <w:color w:val="000000"/>
        </w:rPr>
        <w:t xml:space="preserve">ministrijas precizētais likumprojekts “Grozījumi Latvijas Republikas Zemessardzes likumā” (VSS-987), tā precizētais sākotnējās ietekmes novērtējuma ziņojums </w:t>
      </w:r>
      <w:proofErr w:type="gramStart"/>
      <w:r>
        <w:rPr>
          <w:rFonts w:eastAsia="Times New Roman"/>
          <w:color w:val="000000"/>
        </w:rPr>
        <w:t>(</w:t>
      </w:r>
      <w:proofErr w:type="gramEnd"/>
      <w:r>
        <w:rPr>
          <w:rFonts w:eastAsia="Times New Roman"/>
          <w:color w:val="000000"/>
        </w:rPr>
        <w:t>anotācija), un izziņa par atzinumos sniegtajiem iebildumiem, un par precizēto projektu izsakām šādus iebildumus.  </w:t>
      </w:r>
    </w:p>
    <w:p w:rsidR="00A0188A" w:rsidRDefault="00A0188A" w:rsidP="00A0188A">
      <w:pPr>
        <w:ind w:firstLine="709"/>
        <w:jc w:val="both"/>
        <w:rPr>
          <w:rFonts w:ascii="Calibri" w:hAnsi="Calibri" w:cs="Calibri"/>
          <w:color w:val="000000"/>
          <w:sz w:val="22"/>
          <w:szCs w:val="22"/>
        </w:rPr>
      </w:pPr>
      <w:r>
        <w:rPr>
          <w:rFonts w:eastAsia="Calibri" w:cs="Times New Roman (Body CS)"/>
          <w:color w:val="000000"/>
        </w:rPr>
        <w:t>1. Projekta 4. pantā paredzēta administratīvā atbildība par paaugstinātās gatavības režīmam pakļauta zemessarga izvairīšanos no paaugstinātas gatavības režīma nosacījumu vai uzdevumu izpildes. </w:t>
      </w:r>
    </w:p>
    <w:p w:rsidR="00A0188A" w:rsidRDefault="00A0188A" w:rsidP="00A0188A">
      <w:pPr>
        <w:jc w:val="both"/>
        <w:rPr>
          <w:rFonts w:ascii="Calibri" w:hAnsi="Calibri" w:cs="Calibri"/>
          <w:color w:val="000000"/>
          <w:sz w:val="22"/>
          <w:szCs w:val="22"/>
        </w:rPr>
      </w:pPr>
      <w:r>
        <w:rPr>
          <w:rFonts w:eastAsia="Calibri" w:cs="Times New Roman (Body CS)"/>
          <w:color w:val="000000"/>
        </w:rPr>
        <w:tab/>
        <w:t>1.1. Paaugstinātās gatavības režīms ir paredzēts kā mobilizācijas sastāvdaļa. Jāievēro, ka šajā jomā ir paredzēta kriminālatbildība (piem., par izvairīšanos no mobilizācijas, par mobilizācijas darbību kavēšanu un mobilizācijas pieprasījuma neizpildīšanu). Kā norādīts projekta anotācijā, vienlaikus tiek virzīti grozījumi Krimināllikumā, kas noteiks zemessargu atbildību par izvairīšanos no mobilizācijas.  </w:t>
      </w:r>
    </w:p>
    <w:p w:rsidR="00A0188A" w:rsidRDefault="00A0188A" w:rsidP="00A0188A">
      <w:pPr>
        <w:jc w:val="both"/>
        <w:rPr>
          <w:rFonts w:ascii="Calibri" w:hAnsi="Calibri" w:cs="Calibri"/>
          <w:color w:val="000000"/>
          <w:sz w:val="22"/>
          <w:szCs w:val="22"/>
        </w:rPr>
      </w:pPr>
      <w:r>
        <w:rPr>
          <w:rFonts w:eastAsia="Calibri" w:cs="Times New Roman (Body CS)"/>
          <w:color w:val="000000"/>
        </w:rPr>
        <w:tab/>
        <w:t xml:space="preserve">Likumdevēja izvēle starp noziedzīgu nodarījumu un administratīvo pārkāpumu nedrīkst būt patvaļīga. Administratīvie pārkāpumi izpaužas kā noteiktas pārvaldības kārtības neievērošana, un tie nav saistīti ar sociālu </w:t>
      </w:r>
      <w:proofErr w:type="spellStart"/>
      <w:r>
        <w:rPr>
          <w:rFonts w:eastAsia="Calibri" w:cs="Times New Roman (Body CS)"/>
          <w:color w:val="000000"/>
        </w:rPr>
        <w:t>stigmatizāciju</w:t>
      </w:r>
      <w:proofErr w:type="spellEnd"/>
      <w:r>
        <w:rPr>
          <w:rFonts w:eastAsia="Calibri" w:cs="Times New Roman (Body CS)"/>
          <w:color w:val="000000"/>
        </w:rPr>
        <w:t xml:space="preserve"> vai publisku kaunu </w:t>
      </w:r>
      <w:proofErr w:type="gramStart"/>
      <w:r>
        <w:rPr>
          <w:rFonts w:eastAsia="Calibri" w:cs="Times New Roman (Body CS)"/>
          <w:color w:val="000000"/>
        </w:rPr>
        <w:t>(</w:t>
      </w:r>
      <w:proofErr w:type="gramEnd"/>
      <w:r>
        <w:rPr>
          <w:rFonts w:eastAsia="Calibri" w:cs="Times New Roman (Body CS)"/>
          <w:i/>
          <w:iCs/>
          <w:color w:val="000000"/>
        </w:rPr>
        <w:t xml:space="preserve">Smiltēna A. Administratīvās atbildības norobežošanas no kriminālatbildības problemātika. </w:t>
      </w:r>
      <w:proofErr w:type="spellStart"/>
      <w:r>
        <w:rPr>
          <w:rFonts w:eastAsia="Calibri" w:cs="Times New Roman (Body CS)"/>
          <w:i/>
          <w:iCs/>
          <w:color w:val="000000"/>
        </w:rPr>
        <w:t>Grām</w:t>
      </w:r>
      <w:proofErr w:type="spellEnd"/>
      <w:r>
        <w:rPr>
          <w:rFonts w:eastAsia="Calibri" w:cs="Times New Roman (Body CS)"/>
          <w:i/>
          <w:iCs/>
          <w:color w:val="000000"/>
        </w:rPr>
        <w:t xml:space="preserve">.: Administratīvo pārkāpumu tiesības. Administratīvās atbildības likuma skaidrojumi. Sagatavojis autoru kolektīvs. E. </w:t>
      </w:r>
      <w:proofErr w:type="spellStart"/>
      <w:r>
        <w:rPr>
          <w:rFonts w:eastAsia="Calibri" w:cs="Times New Roman (Body CS)"/>
          <w:i/>
          <w:iCs/>
          <w:color w:val="000000"/>
        </w:rPr>
        <w:t>Danovska</w:t>
      </w:r>
      <w:proofErr w:type="spellEnd"/>
      <w:r>
        <w:rPr>
          <w:rFonts w:eastAsia="Calibri" w:cs="Times New Roman (Body CS)"/>
          <w:i/>
          <w:iCs/>
          <w:color w:val="000000"/>
        </w:rPr>
        <w:t xml:space="preserve"> un G. Kūtra zinātniskajā redakcijā. Rīga: Tiesu namu aģentūra, 2020, 23. lpp.</w:t>
      </w:r>
      <w:r>
        <w:rPr>
          <w:rFonts w:eastAsia="Calibri" w:cs="Times New Roman (Body CS)"/>
          <w:color w:val="000000"/>
        </w:rPr>
        <w:t xml:space="preserve">). Šie pārkāpumi ir vienkārši traucējoši labai pārvaldībai vai sabiedriskajai kārtībai, bet tie neietver sevī kādu īpašu ļaunumu vai pilnīgu sabiedrības vai valsts vērtību ignoranci </w:t>
      </w:r>
      <w:proofErr w:type="gramStart"/>
      <w:r>
        <w:rPr>
          <w:rFonts w:eastAsia="Calibri" w:cs="Times New Roman (Body CS)"/>
          <w:color w:val="000000"/>
        </w:rPr>
        <w:t>(</w:t>
      </w:r>
      <w:proofErr w:type="gramEnd"/>
      <w:r>
        <w:rPr>
          <w:rFonts w:eastAsia="Calibri" w:cs="Times New Roman (Body CS)"/>
          <w:i/>
          <w:iCs/>
          <w:color w:val="000000"/>
        </w:rPr>
        <w:t>Kalniņa V. Administratīvo pārkāpumu tiesību sistēmas reforma – domāšanas reforma. Jurista Vārds, 15.11.2016., Nr. 46</w:t>
      </w:r>
      <w:r>
        <w:rPr>
          <w:rFonts w:eastAsia="Calibri" w:cs="Times New Roman (Body CS)"/>
          <w:color w:val="000000"/>
        </w:rPr>
        <w:t>). Citiem vārdiem sakot, ja noziedzīgs nodarījums ir ļaunums pats par sevi, tad administratīvais pārkāpums ir morāli neitrāla rīcība un tā izdarītājs – nevērīga vai bezrūpīga persona (</w:t>
      </w:r>
      <w:proofErr w:type="spellStart"/>
      <w:r w:rsidRPr="00A0188A">
        <w:rPr>
          <w:rFonts w:eastAsia="Calibri" w:cs="Times New Roman (Body CS)"/>
          <w:i/>
          <w:iCs/>
          <w:color w:val="000000"/>
        </w:rPr>
        <w:t>Foundations</w:t>
      </w:r>
      <w:proofErr w:type="spellEnd"/>
      <w:r w:rsidRPr="00A0188A">
        <w:rPr>
          <w:rFonts w:eastAsia="Calibri" w:cs="Times New Roman (Body CS)"/>
          <w:i/>
          <w:iCs/>
          <w:color w:val="000000"/>
        </w:rPr>
        <w:t xml:space="preserve"> </w:t>
      </w:r>
      <w:proofErr w:type="spellStart"/>
      <w:r w:rsidRPr="00A0188A">
        <w:rPr>
          <w:rFonts w:eastAsia="Calibri" w:cs="Times New Roman (Body CS)"/>
          <w:i/>
          <w:iCs/>
          <w:color w:val="000000"/>
        </w:rPr>
        <w:t>of</w:t>
      </w:r>
      <w:proofErr w:type="spellEnd"/>
      <w:r w:rsidRPr="00A0188A">
        <w:rPr>
          <w:rFonts w:eastAsia="Calibri" w:cs="Times New Roman (Body CS)"/>
          <w:i/>
          <w:iCs/>
          <w:color w:val="000000"/>
        </w:rPr>
        <w:t xml:space="preserve"> </w:t>
      </w:r>
      <w:proofErr w:type="spellStart"/>
      <w:r w:rsidRPr="00A0188A">
        <w:rPr>
          <w:rFonts w:eastAsia="Calibri" w:cs="Times New Roman (Body CS)"/>
          <w:i/>
          <w:iCs/>
          <w:color w:val="000000"/>
        </w:rPr>
        <w:t>European</w:t>
      </w:r>
      <w:proofErr w:type="spellEnd"/>
      <w:r w:rsidRPr="00A0188A">
        <w:rPr>
          <w:rFonts w:eastAsia="Calibri" w:cs="Times New Roman (Body CS)"/>
          <w:i/>
          <w:iCs/>
          <w:color w:val="000000"/>
        </w:rPr>
        <w:t xml:space="preserve"> </w:t>
      </w:r>
      <w:proofErr w:type="spellStart"/>
      <w:r w:rsidRPr="00A0188A">
        <w:rPr>
          <w:rFonts w:eastAsia="Calibri" w:cs="Times New Roman (Body CS)"/>
          <w:i/>
          <w:iCs/>
          <w:color w:val="000000"/>
        </w:rPr>
        <w:t>Criminal</w:t>
      </w:r>
      <w:proofErr w:type="spellEnd"/>
      <w:r w:rsidRPr="00A0188A">
        <w:rPr>
          <w:rFonts w:eastAsia="Calibri" w:cs="Times New Roman (Body CS)"/>
          <w:i/>
          <w:iCs/>
          <w:color w:val="000000"/>
        </w:rPr>
        <w:t xml:space="preserve"> </w:t>
      </w:r>
      <w:proofErr w:type="spellStart"/>
      <w:r w:rsidRPr="00A0188A">
        <w:rPr>
          <w:rFonts w:eastAsia="Calibri" w:cs="Times New Roman (Body CS)"/>
          <w:i/>
          <w:iCs/>
          <w:color w:val="000000"/>
        </w:rPr>
        <w:t>Law</w:t>
      </w:r>
      <w:proofErr w:type="spellEnd"/>
      <w:r w:rsidRPr="00A0188A">
        <w:rPr>
          <w:rFonts w:eastAsia="Calibri" w:cs="Times New Roman (Body CS)"/>
          <w:i/>
          <w:iCs/>
          <w:color w:val="000000"/>
        </w:rPr>
        <w:t xml:space="preserve">. </w:t>
      </w:r>
      <w:proofErr w:type="spellStart"/>
      <w:r w:rsidRPr="00A0188A">
        <w:rPr>
          <w:rFonts w:eastAsia="Calibri" w:cs="Times New Roman (Body CS)"/>
          <w:i/>
          <w:iCs/>
          <w:color w:val="000000"/>
        </w:rPr>
        <w:t>Norel</w:t>
      </w:r>
      <w:proofErr w:type="spellEnd"/>
      <w:r w:rsidRPr="00A0188A">
        <w:rPr>
          <w:rFonts w:eastAsia="Calibri" w:cs="Times New Roman (Body CS)"/>
          <w:i/>
          <w:iCs/>
          <w:color w:val="000000"/>
        </w:rPr>
        <w:t xml:space="preserve"> </w:t>
      </w:r>
      <w:proofErr w:type="spellStart"/>
      <w:r w:rsidRPr="00A0188A">
        <w:rPr>
          <w:rFonts w:eastAsia="Calibri" w:cs="Times New Roman (Body CS)"/>
          <w:i/>
          <w:iCs/>
          <w:color w:val="000000"/>
        </w:rPr>
        <w:t>Neagu</w:t>
      </w:r>
      <w:proofErr w:type="spellEnd"/>
      <w:r w:rsidRPr="00A0188A">
        <w:rPr>
          <w:rFonts w:eastAsia="Calibri" w:cs="Times New Roman (Body CS)"/>
          <w:i/>
          <w:iCs/>
          <w:color w:val="000000"/>
        </w:rPr>
        <w:t xml:space="preserve"> (</w:t>
      </w:r>
      <w:proofErr w:type="spellStart"/>
      <w:r w:rsidRPr="00A0188A">
        <w:rPr>
          <w:rFonts w:eastAsia="Calibri" w:cs="Times New Roman (Body CS)"/>
          <w:i/>
          <w:iCs/>
          <w:color w:val="000000"/>
        </w:rPr>
        <w:t>Ed</w:t>
      </w:r>
      <w:proofErr w:type="spellEnd"/>
      <w:r w:rsidRPr="00A0188A">
        <w:rPr>
          <w:rFonts w:eastAsia="Calibri" w:cs="Times New Roman (Body CS)"/>
          <w:i/>
          <w:iCs/>
          <w:color w:val="000000"/>
        </w:rPr>
        <w:t xml:space="preserve">.). </w:t>
      </w:r>
      <w:proofErr w:type="spellStart"/>
      <w:r w:rsidRPr="00A0188A">
        <w:rPr>
          <w:rFonts w:eastAsia="Calibri" w:cs="Times New Roman (Body CS)"/>
          <w:i/>
          <w:iCs/>
          <w:color w:val="000000"/>
        </w:rPr>
        <w:t>Bucureşti</w:t>
      </w:r>
      <w:proofErr w:type="spellEnd"/>
      <w:r w:rsidRPr="00A0188A">
        <w:rPr>
          <w:rFonts w:eastAsia="Calibri" w:cs="Times New Roman (Body CS)"/>
          <w:i/>
          <w:iCs/>
          <w:color w:val="000000"/>
        </w:rPr>
        <w:t xml:space="preserve">: </w:t>
      </w:r>
      <w:proofErr w:type="spellStart"/>
      <w:r w:rsidRPr="00A0188A">
        <w:rPr>
          <w:rFonts w:eastAsia="Calibri" w:cs="Times New Roman (Body CS)"/>
          <w:i/>
          <w:iCs/>
          <w:color w:val="000000"/>
        </w:rPr>
        <w:t>Editura</w:t>
      </w:r>
      <w:proofErr w:type="spellEnd"/>
      <w:r w:rsidRPr="00A0188A">
        <w:rPr>
          <w:rFonts w:eastAsia="Calibri" w:cs="Times New Roman (Body CS)"/>
          <w:i/>
          <w:iCs/>
          <w:color w:val="000000"/>
        </w:rPr>
        <w:t xml:space="preserve"> C.H. </w:t>
      </w:r>
      <w:proofErr w:type="spellStart"/>
      <w:r w:rsidRPr="00A0188A">
        <w:rPr>
          <w:rFonts w:eastAsia="Calibri" w:cs="Times New Roman (Body CS)"/>
          <w:i/>
          <w:iCs/>
          <w:color w:val="000000"/>
        </w:rPr>
        <w:t>Beck</w:t>
      </w:r>
      <w:proofErr w:type="spellEnd"/>
      <w:r w:rsidRPr="00A0188A">
        <w:rPr>
          <w:rFonts w:eastAsia="Calibri" w:cs="Times New Roman (Body CS)"/>
          <w:i/>
          <w:iCs/>
          <w:color w:val="000000"/>
        </w:rPr>
        <w:t>, 2014, p. 67</w:t>
      </w:r>
      <w:r>
        <w:rPr>
          <w:rFonts w:eastAsia="Calibri" w:cs="Times New Roman (Body CS)"/>
          <w:color w:val="000000"/>
        </w:rPr>
        <w:t>). </w:t>
      </w:r>
    </w:p>
    <w:p w:rsidR="00A0188A" w:rsidRDefault="00A0188A" w:rsidP="00A0188A">
      <w:pPr>
        <w:jc w:val="both"/>
        <w:rPr>
          <w:rFonts w:ascii="Calibri" w:hAnsi="Calibri" w:cs="Calibri"/>
          <w:color w:val="000000"/>
          <w:sz w:val="22"/>
          <w:szCs w:val="22"/>
        </w:rPr>
      </w:pPr>
      <w:r>
        <w:rPr>
          <w:rFonts w:eastAsia="Calibri" w:cs="Times New Roman (Body CS)"/>
          <w:color w:val="000000"/>
        </w:rPr>
        <w:tab/>
        <w:t>Izziņā ir minēti Tieslietu ministrijas Pastāvīgās Krimināllikuma darba grupas ieteikumi, tomēr tas pats par sevi nav pamatojums, lai pārkāpumu automātiski atzītu par administratīvu pārkāpumu. Lūdzam projekta anotācijā argumentēti skaidrot paredzētā pārkāpuma atbilstību administratīvā pārkāpuma būtībai, tostarp arī atšķirību no līdzīgiem noziedzīgiem nodarījumiem. </w:t>
      </w:r>
    </w:p>
    <w:p w:rsidR="00A0188A" w:rsidRDefault="00A0188A" w:rsidP="00A0188A">
      <w:pPr>
        <w:jc w:val="both"/>
        <w:rPr>
          <w:rFonts w:ascii="Calibri" w:hAnsi="Calibri" w:cs="Calibri"/>
          <w:color w:val="000000"/>
          <w:sz w:val="22"/>
          <w:szCs w:val="22"/>
        </w:rPr>
      </w:pPr>
      <w:r>
        <w:rPr>
          <w:rFonts w:eastAsia="Calibri" w:cs="Times New Roman (Body CS)"/>
          <w:color w:val="000000"/>
        </w:rPr>
        <w:tab/>
        <w:t xml:space="preserve">1.2. Saskaņā ar Militārās disciplināratbildības likuma 2. panta otrās daļas 2. punktu zemessargiem ir piemērojama disciplināratbildība. Par militārās disciplīnas pārkāpumu atzīstama zemessarga rīcība (darbība vai bezdarbība), kas izpaužas kā normatīvo aktu, militāro reglamentu, komandiera (priekšnieka) pavēļu, rīkojumu vai norādījumu pārkāpšana (Militārās disciplināratbildības likuma 6. panta pirmā daļa). Tādējādi zemessargi ir disciplināratbildības subjekti, un administratīvā atbildība tiem </w:t>
      </w:r>
      <w:r>
        <w:rPr>
          <w:rFonts w:eastAsia="Calibri" w:cs="Times New Roman (Body CS)"/>
          <w:color w:val="000000"/>
        </w:rPr>
        <w:lastRenderedPageBreak/>
        <w:t>būtu piemērojama vien izņēmuma gadījumos (Administratīvās atbildības likuma 9. pants). </w:t>
      </w:r>
    </w:p>
    <w:p w:rsidR="00A0188A" w:rsidRDefault="00A0188A" w:rsidP="00A0188A">
      <w:pPr>
        <w:jc w:val="both"/>
        <w:rPr>
          <w:rFonts w:ascii="Calibri" w:hAnsi="Calibri" w:cs="Calibri"/>
          <w:color w:val="000000"/>
          <w:sz w:val="22"/>
          <w:szCs w:val="22"/>
        </w:rPr>
      </w:pPr>
      <w:r>
        <w:rPr>
          <w:rFonts w:eastAsia="Calibri" w:cs="Times New Roman (Body CS)"/>
          <w:color w:val="000000"/>
        </w:rPr>
        <w:tab/>
        <w:t>Lūdzam skaidrot, kāpēc projektā paredzētajos gadījumos zemessargiem būtu piemērojama administratīvā atbildība, nevis disciplināratbildība. </w:t>
      </w:r>
    </w:p>
    <w:p w:rsidR="00A0188A" w:rsidRDefault="00A0188A" w:rsidP="00A0188A">
      <w:pPr>
        <w:jc w:val="both"/>
        <w:rPr>
          <w:rFonts w:ascii="Calibri" w:hAnsi="Calibri" w:cs="Calibri"/>
          <w:color w:val="000000"/>
          <w:sz w:val="22"/>
          <w:szCs w:val="22"/>
        </w:rPr>
      </w:pPr>
      <w:r>
        <w:rPr>
          <w:rFonts w:eastAsia="Calibri" w:cs="Times New Roman (Body CS)"/>
          <w:color w:val="000000"/>
        </w:rPr>
        <w:tab/>
        <w:t>2. Projekta 4. pantā ir nošķirti "nosacījumi" un "uzdevumi". Projekta anotācijā skaidrots: "</w:t>
      </w:r>
      <w:r>
        <w:rPr>
          <w:rFonts w:eastAsia="Calibri" w:cs="Times New Roman (Body CS)"/>
          <w:i/>
          <w:iCs/>
          <w:color w:val="000000"/>
        </w:rPr>
        <w:t>Proti, nosacījumi ir sākotnējie no zemessarga tiesiskā statusa izrietošie priekšnoteikumi un prasības, kuras automātiski uzliek zemessargam pienākumu veikt noteiktas darbības vai tieši atturēties no tām (piem., būt sasniedzamam vai neizbraukt no valsts). Savukārt uzdevumi ir konkrēti adresēti pavēļu veida rīcības priekšraksti. Tātad nosacījumi un uzdevumi nav vieni un tie paši, bet ir savstarpēji secīgi saistīti, īpaši paaugstinātas gatavības režīma laikā.</w:t>
      </w:r>
      <w:r>
        <w:rPr>
          <w:rFonts w:eastAsia="Calibri" w:cs="Times New Roman (Body CS)"/>
          <w:color w:val="000000"/>
        </w:rPr>
        <w:t>" Šāds skaidrojums neatbilst nedz tiesību sistēmā akceptētajai termina "nosacījumi" juridiskajai pamatnozīmei, nedz Latvijas Republikas Zemessardzes likumā esošajam un projektā paredzētajam regulējumam. Nav arī saprotams, ar kādu mērķi šāds nošķīrums tiek veidots. Turklāt projektā un grozāmajā likumā ir regulēti zemessargu pienākumi, nevis paaugstinātas gatavības režīma priekšnoteikumi vai tamlīdzīgi (tie nav grozāmā likuma jautājums). Līdz ar to projektā varētu būt vienīgi jautājums par noteiktu zemessarga pienākumu neizpildi paaugstinātas gatavības režīma laikā. Šiem pienākumiem precīzi jābūt noteiktiem Latvijas Republikas Zemessardzes likumā. </w:t>
      </w:r>
    </w:p>
    <w:p w:rsidR="00A0188A" w:rsidRDefault="00A0188A" w:rsidP="00A0188A">
      <w:pPr>
        <w:jc w:val="both"/>
        <w:rPr>
          <w:rFonts w:ascii="Calibri" w:hAnsi="Calibri" w:cs="Calibri"/>
          <w:color w:val="000000"/>
          <w:sz w:val="22"/>
          <w:szCs w:val="22"/>
        </w:rPr>
      </w:pPr>
      <w:r>
        <w:rPr>
          <w:rFonts w:eastAsia="Calibri" w:cs="Times New Roman (Body CS)"/>
          <w:color w:val="000000"/>
        </w:rPr>
        <w:tab/>
        <w:t>Projekta 4. pantā jābūt skaidri un paredzami noteiktam, kāda veida darbība vai bezdarbība ir atzīstama par administratīvi sodāmu un kāds sods par to piemērojams (</w:t>
      </w:r>
      <w:r>
        <w:rPr>
          <w:rFonts w:eastAsia="Calibri" w:cs="Times New Roman (Body CS)"/>
          <w:i/>
          <w:iCs/>
          <w:color w:val="000000"/>
        </w:rPr>
        <w:t>sal. Satversmes tiesas 2020. gada 24. septembra sprieduma lietā Nr. 2019-22-01 14. punkts.</w:t>
      </w:r>
      <w:r>
        <w:rPr>
          <w:rFonts w:eastAsia="Calibri" w:cs="Times New Roman (Body CS)"/>
          <w:color w:val="000000"/>
        </w:rPr>
        <w:t>). Pašreizējā projekta 4. pantā paredzētā administratīvā pārkāpuma redakcija neatbilst minētajiem kritērijiem. </w:t>
      </w:r>
    </w:p>
    <w:p w:rsidR="00A0188A" w:rsidRDefault="00A0188A" w:rsidP="00A0188A">
      <w:pPr>
        <w:jc w:val="both"/>
        <w:rPr>
          <w:rFonts w:ascii="Calibri" w:hAnsi="Calibri" w:cs="Calibri"/>
          <w:color w:val="000000"/>
          <w:sz w:val="22"/>
          <w:szCs w:val="22"/>
        </w:rPr>
      </w:pPr>
      <w:r>
        <w:rPr>
          <w:rFonts w:eastAsia="Calibri" w:cs="Times New Roman (Body CS)"/>
          <w:color w:val="000000"/>
        </w:rPr>
        <w:t> </w:t>
      </w:r>
    </w:p>
    <w:p w:rsidR="00A0188A" w:rsidRDefault="00A0188A" w:rsidP="00A0188A">
      <w:pPr>
        <w:jc w:val="both"/>
        <w:rPr>
          <w:rFonts w:ascii="Calibri" w:hAnsi="Calibri" w:cs="Calibri"/>
          <w:color w:val="000000"/>
          <w:sz w:val="22"/>
          <w:szCs w:val="22"/>
        </w:rPr>
      </w:pPr>
      <w:r>
        <w:rPr>
          <w:rFonts w:eastAsia="Calibri" w:cs="Times New Roman (Body CS)"/>
          <w:color w:val="000000"/>
        </w:rPr>
        <w:tab/>
        <w:t xml:space="preserve">3. Projekta 4. pants paredz papildināt grozāmo likumu ar XII nodaļu "Administratīvie pārkāpumi dienesta Zemessardzē izpildes jomā un kompetence administratīvo pārkāpumu procesā". Kā jau norādīts iepriekšējos Tieslietu ministrijas atzinumos, tad grozāmajā likumā jau ir X nodaļa "Zemessarga apbalvošana un atbildība" un 40. pants "Zemessarga atbildība", kur ir minēti arī administratīvās atbildības jautājumi. Jāteic, ka šajā pantā pamatā ir ietverts regulējums, kas dublē </w:t>
      </w:r>
      <w:proofErr w:type="gramStart"/>
      <w:r>
        <w:rPr>
          <w:rFonts w:eastAsia="Calibri" w:cs="Times New Roman (Body CS)"/>
          <w:color w:val="000000"/>
        </w:rPr>
        <w:t>citu normatīvo aktu</w:t>
      </w:r>
      <w:proofErr w:type="gramEnd"/>
      <w:r>
        <w:rPr>
          <w:rFonts w:eastAsia="Calibri" w:cs="Times New Roman (Body CS)"/>
          <w:color w:val="000000"/>
        </w:rPr>
        <w:t xml:space="preserve"> regulējumu vai satur atsauces uz tiem. </w:t>
      </w:r>
    </w:p>
    <w:p w:rsidR="00A0188A" w:rsidRDefault="00A0188A" w:rsidP="00A0188A">
      <w:pPr>
        <w:jc w:val="both"/>
        <w:rPr>
          <w:rFonts w:ascii="Calibri" w:hAnsi="Calibri" w:cs="Calibri"/>
          <w:color w:val="000000"/>
          <w:sz w:val="22"/>
          <w:szCs w:val="22"/>
        </w:rPr>
      </w:pPr>
      <w:r>
        <w:rPr>
          <w:rFonts w:eastAsia="Calibri" w:cs="Times New Roman (Body CS)"/>
          <w:color w:val="000000"/>
        </w:rPr>
        <w:tab/>
        <w:t>Papildus minētajam, saskaņā ar Ministru kabineta 2009. gada 3. februāra noteikumu Nr. 108 "Normatīvo aktu projektu sagatavošanas noteikumi" 17. punktu likumprojekta pantus, kas attiecas uz vienu regulējamo jautājumu, ja nepieciešams, apvieno nodaļās. Tātad vairākas nodaļas nevar regulēt vienu jautājumu, resp., administratīvo atbildību. </w:t>
      </w:r>
    </w:p>
    <w:p w:rsidR="00A0188A" w:rsidRDefault="00A0188A" w:rsidP="00A0188A">
      <w:pPr>
        <w:jc w:val="both"/>
        <w:rPr>
          <w:rFonts w:ascii="Calibri" w:hAnsi="Calibri" w:cs="Calibri"/>
          <w:color w:val="000000"/>
          <w:sz w:val="22"/>
          <w:szCs w:val="22"/>
        </w:rPr>
      </w:pPr>
      <w:r>
        <w:rPr>
          <w:rFonts w:eastAsia="Calibri" w:cs="Times New Roman (Body CS)"/>
          <w:color w:val="000000"/>
        </w:rPr>
        <w:tab/>
        <w:t>Lūdzam precizēt grozāmā likuma X nodaļā ietverto regulējumu, izslēdzot ar administratīvo atbildību saistīto regulējumu. Attiecīgi precizējams nodaļas nosaukums un arī 40. panta nosaukums, ja šis pants tiks saglabāts. </w:t>
      </w:r>
    </w:p>
    <w:p w:rsidR="00A0188A" w:rsidRDefault="00A0188A" w:rsidP="00A0188A">
      <w:pPr>
        <w:jc w:val="both"/>
        <w:rPr>
          <w:rFonts w:ascii="Calibri" w:hAnsi="Calibri" w:cs="Calibri"/>
          <w:color w:val="000000"/>
          <w:sz w:val="22"/>
          <w:szCs w:val="22"/>
        </w:rPr>
      </w:pPr>
      <w:r>
        <w:rPr>
          <w:rFonts w:eastAsia="Calibri" w:cs="Times New Roman (Body CS)"/>
          <w:color w:val="000000"/>
        </w:rPr>
        <w:t> </w:t>
      </w:r>
    </w:p>
    <w:p w:rsidR="00A0188A" w:rsidRDefault="00A0188A" w:rsidP="00A0188A">
      <w:pPr>
        <w:jc w:val="both"/>
        <w:rPr>
          <w:rFonts w:ascii="Calibri" w:hAnsi="Calibri" w:cs="Calibri"/>
          <w:color w:val="000000"/>
          <w:sz w:val="22"/>
          <w:szCs w:val="22"/>
        </w:rPr>
      </w:pPr>
      <w:r>
        <w:rPr>
          <w:rFonts w:eastAsia="Calibri" w:cs="Times New Roman (Body CS)"/>
          <w:color w:val="000000"/>
        </w:rPr>
        <w:tab/>
        <w:t>4. Projekta anotācijas I sadaļas 2. punktā ietvertais skaidrojums neatbilst jaunu administratīvo pārkāpumu veidošanas kritēriju saturam vai nav pienācīgi argumentēts. Lūdzam precizēt projekta anotāciju, ievērojot turpmāk norādītos apsvērumus. </w:t>
      </w:r>
    </w:p>
    <w:p w:rsidR="00A0188A" w:rsidRDefault="00A0188A" w:rsidP="00A0188A">
      <w:pPr>
        <w:jc w:val="both"/>
        <w:rPr>
          <w:rFonts w:ascii="Calibri" w:hAnsi="Calibri" w:cs="Calibri"/>
          <w:color w:val="000000"/>
          <w:sz w:val="22"/>
          <w:szCs w:val="22"/>
        </w:rPr>
      </w:pPr>
      <w:r>
        <w:rPr>
          <w:rFonts w:eastAsia="Calibri" w:cs="Times New Roman (Body CS)"/>
          <w:color w:val="000000"/>
        </w:rPr>
        <w:tab/>
        <w:t xml:space="preserve">4.1. Administratīvā akta prioritātes princips nozīmē, ka tikai tad, ja problēmsituāciju nav iespējams atrisināt, izdodot administratīvo aktu, ir pieļaujams paredzēt administratīvo sodu. Pamatā, ja nepieciešams panākt, lai persona izpilda noteiktas normatīvo aktu prasības, prioritāte ir administratīvā akta izdošanai, nosakot pienākumu atbilstošā termiņā novērst neatbilstības un izpildīt prasības </w:t>
      </w:r>
      <w:proofErr w:type="gramStart"/>
      <w:r>
        <w:rPr>
          <w:rFonts w:eastAsia="Calibri" w:cs="Times New Roman (Body CS)"/>
          <w:color w:val="000000"/>
        </w:rPr>
        <w:t>(</w:t>
      </w:r>
      <w:proofErr w:type="gramEnd"/>
      <w:r>
        <w:rPr>
          <w:rFonts w:eastAsia="Calibri" w:cs="Times New Roman (Body CS)"/>
          <w:i/>
          <w:iCs/>
          <w:color w:val="000000"/>
        </w:rPr>
        <w:t xml:space="preserve">Māliņa I. Jaunu administratīvo pārkāpumu sastāvu veidošana. </w:t>
      </w:r>
      <w:proofErr w:type="spellStart"/>
      <w:r>
        <w:rPr>
          <w:rFonts w:eastAsia="Calibri" w:cs="Times New Roman (Body CS)"/>
          <w:i/>
          <w:iCs/>
          <w:color w:val="000000"/>
        </w:rPr>
        <w:t>Grām</w:t>
      </w:r>
      <w:proofErr w:type="spellEnd"/>
      <w:r>
        <w:rPr>
          <w:rFonts w:eastAsia="Calibri" w:cs="Times New Roman (Body CS)"/>
          <w:i/>
          <w:iCs/>
          <w:color w:val="000000"/>
        </w:rPr>
        <w:t xml:space="preserve">.: Administratīvo pārkāpumu </w:t>
      </w:r>
      <w:r>
        <w:rPr>
          <w:rFonts w:eastAsia="Calibri" w:cs="Times New Roman (Body CS)"/>
          <w:i/>
          <w:iCs/>
          <w:color w:val="000000"/>
        </w:rPr>
        <w:lastRenderedPageBreak/>
        <w:t>tiesības. Administratīvās atbildības likuma skaidrojumi. Sagatavojis autoru kolektīvs. E. </w:t>
      </w:r>
      <w:proofErr w:type="spellStart"/>
      <w:r>
        <w:rPr>
          <w:rFonts w:eastAsia="Calibri" w:cs="Times New Roman (Body CS)"/>
          <w:i/>
          <w:iCs/>
          <w:color w:val="000000"/>
        </w:rPr>
        <w:t>Danovska</w:t>
      </w:r>
      <w:proofErr w:type="spellEnd"/>
      <w:r>
        <w:rPr>
          <w:rFonts w:eastAsia="Calibri" w:cs="Times New Roman (Body CS)"/>
          <w:i/>
          <w:iCs/>
          <w:color w:val="000000"/>
        </w:rPr>
        <w:t xml:space="preserve"> un G. Kūtra zinātniskajā redakcijā. Rīga: Tiesu namu aģentūra, 2020, 55. lpp.</w:t>
      </w:r>
      <w:r>
        <w:rPr>
          <w:rFonts w:eastAsia="Calibri" w:cs="Times New Roman (Body CS)"/>
          <w:color w:val="000000"/>
        </w:rPr>
        <w:t>). Projekta anotācijā norādīts, ka "nevar paļauties tikai uz apstākli, ka zemessargs brīvprātīgi izpildīs likumā noteiktos pienākumus" un sods vērtējams kā preventīva rakstura līdzeklis. Šāds skaidrojums nepamato, kāpēc konkrētajā gadījumā nav izmantojami administratīvajā procesā piemērojami piespiedu līdzekļi. Arī to esībai piemīt preventīvs raksturs. </w:t>
      </w:r>
    </w:p>
    <w:p w:rsidR="00A0188A" w:rsidRDefault="00A0188A" w:rsidP="00A0188A">
      <w:pPr>
        <w:jc w:val="both"/>
        <w:rPr>
          <w:rFonts w:ascii="Calibri" w:hAnsi="Calibri" w:cs="Calibri"/>
          <w:color w:val="000000"/>
          <w:sz w:val="22"/>
          <w:szCs w:val="22"/>
        </w:rPr>
      </w:pPr>
      <w:r>
        <w:rPr>
          <w:rFonts w:eastAsia="Calibri" w:cs="Times New Roman (Body CS)"/>
          <w:color w:val="000000"/>
        </w:rPr>
        <w:tab/>
        <w:t>4.2. Aizliegums paredzēt administratīvos sodus par administratīvā akta labprātīgu nepildīšanu ir nozīmīgs, ja lieta jau ir uzsākta administratīvajā procesā. Piemēram, ja zemessarga pienākuma pamatā ir administratīvais akts, tad tas izpildāms administratīvā akta izpildes kārtībā. Projekta anotācijā šis aspekts nav analizēts. </w:t>
      </w:r>
    </w:p>
    <w:p w:rsidR="00A0188A" w:rsidRDefault="00A0188A" w:rsidP="00A0188A">
      <w:pPr>
        <w:jc w:val="both"/>
        <w:rPr>
          <w:rFonts w:ascii="Calibri" w:hAnsi="Calibri" w:cs="Calibri"/>
          <w:color w:val="000000"/>
          <w:sz w:val="22"/>
          <w:szCs w:val="22"/>
        </w:rPr>
      </w:pPr>
      <w:r>
        <w:rPr>
          <w:rFonts w:eastAsia="Calibri" w:cs="Times New Roman (Body CS)"/>
          <w:color w:val="000000"/>
        </w:rPr>
        <w:tab/>
        <w:t xml:space="preserve">4.3. Sabiedriskā kārtības mērķa sasniegšanas efektivitātes vērtējums ietver divus jautājumus: 1) vai administratīvais sods spēs mazināt konstatēto problēmsituāciju skaitu, apmēru un izplatību sabiedrībā, 2) vai ar administratīvā pārkāpuma procesā esošajiem līdzekļiem būs iespējams šādas situācijas konstatēt, izmeklēt un pierādīt </w:t>
      </w:r>
      <w:proofErr w:type="gramStart"/>
      <w:r>
        <w:rPr>
          <w:rFonts w:eastAsia="Calibri" w:cs="Times New Roman (Body CS)"/>
          <w:color w:val="000000"/>
        </w:rPr>
        <w:t>(</w:t>
      </w:r>
      <w:proofErr w:type="gramEnd"/>
      <w:r>
        <w:rPr>
          <w:rFonts w:eastAsia="Calibri" w:cs="Times New Roman (Body CS)"/>
          <w:i/>
          <w:iCs/>
          <w:color w:val="000000"/>
        </w:rPr>
        <w:t xml:space="preserve">Māliņa I. Jaunu administratīvo pārkāpumu sastāvu veidošana. </w:t>
      </w:r>
      <w:proofErr w:type="spellStart"/>
      <w:r>
        <w:rPr>
          <w:rFonts w:eastAsia="Calibri" w:cs="Times New Roman (Body CS)"/>
          <w:i/>
          <w:iCs/>
          <w:color w:val="000000"/>
        </w:rPr>
        <w:t>Grām</w:t>
      </w:r>
      <w:proofErr w:type="spellEnd"/>
      <w:r>
        <w:rPr>
          <w:rFonts w:eastAsia="Calibri" w:cs="Times New Roman (Body CS)"/>
          <w:i/>
          <w:iCs/>
          <w:color w:val="000000"/>
        </w:rPr>
        <w:t>.: Administratīvo pārkāpumu tiesības. Administratīvās atbildības likuma skaidrojumi. Sagatavojis autoru kolektīvs. E. </w:t>
      </w:r>
      <w:proofErr w:type="spellStart"/>
      <w:r>
        <w:rPr>
          <w:rFonts w:eastAsia="Calibri" w:cs="Times New Roman (Body CS)"/>
          <w:i/>
          <w:iCs/>
          <w:color w:val="000000"/>
        </w:rPr>
        <w:t>Danovska</w:t>
      </w:r>
      <w:proofErr w:type="spellEnd"/>
      <w:r>
        <w:rPr>
          <w:rFonts w:eastAsia="Calibri" w:cs="Times New Roman (Body CS)"/>
          <w:i/>
          <w:iCs/>
          <w:color w:val="000000"/>
        </w:rPr>
        <w:t xml:space="preserve"> un G. Kūtra zinātniskajā redakcijā. Rīga: Tiesu namu aģentūra, 2020, 55. lpp.</w:t>
      </w:r>
      <w:r>
        <w:rPr>
          <w:rFonts w:eastAsia="Calibri" w:cs="Times New Roman (Body CS)"/>
          <w:color w:val="000000"/>
        </w:rPr>
        <w:t>). </w:t>
      </w:r>
    </w:p>
    <w:p w:rsidR="00A0188A" w:rsidRDefault="00A0188A" w:rsidP="00A0188A">
      <w:pPr>
        <w:jc w:val="both"/>
        <w:rPr>
          <w:rFonts w:ascii="Calibri" w:hAnsi="Calibri" w:cs="Calibri"/>
          <w:color w:val="000000"/>
          <w:sz w:val="22"/>
          <w:szCs w:val="22"/>
        </w:rPr>
      </w:pPr>
      <w:r>
        <w:rPr>
          <w:rFonts w:eastAsia="Calibri" w:cs="Times New Roman (Body CS)"/>
          <w:color w:val="000000"/>
        </w:rPr>
        <w:tab/>
        <w:t xml:space="preserve">4.4. Problēmsituācijas attiecināmība uz publiski tiesiskajām attiecībām ir saistīta ar to, vai konkrētajā gadījumā pastāv privāttiesiskas vai publiski tiesiskas attiecības. Administratīvās atbildības regulējums nav paredzēts civiltiesisku strīdu risināšanai. Lai identificētu tiesisko attiecību veidu, izmantojami judikatūrā un doktrīnā attīstītie publiski tiesisko attiecību un privāttiesisko attiecību nošķiršanas kritēriji </w:t>
      </w:r>
      <w:proofErr w:type="gramStart"/>
      <w:r>
        <w:rPr>
          <w:rFonts w:eastAsia="Calibri" w:cs="Times New Roman (Body CS)"/>
          <w:color w:val="000000"/>
        </w:rPr>
        <w:t>(</w:t>
      </w:r>
      <w:proofErr w:type="gramEnd"/>
      <w:r>
        <w:rPr>
          <w:rFonts w:eastAsia="Calibri" w:cs="Times New Roman (Body CS)"/>
          <w:i/>
          <w:iCs/>
          <w:color w:val="000000"/>
        </w:rPr>
        <w:t xml:space="preserve">plašāk sk., piem.: Briede J., </w:t>
      </w:r>
      <w:proofErr w:type="spellStart"/>
      <w:r>
        <w:rPr>
          <w:rFonts w:eastAsia="Calibri" w:cs="Times New Roman (Body CS)"/>
          <w:i/>
          <w:iCs/>
          <w:color w:val="000000"/>
        </w:rPr>
        <w:t>Danovskis</w:t>
      </w:r>
      <w:proofErr w:type="spellEnd"/>
      <w:r>
        <w:rPr>
          <w:rFonts w:eastAsia="Calibri" w:cs="Times New Roman (Body CS)"/>
          <w:i/>
          <w:iCs/>
          <w:color w:val="000000"/>
        </w:rPr>
        <w:t xml:space="preserve"> E., Kovaļevska A. Administratīvās tiesības. Rīga: Tiesu namu aģentūra, 2021, 25.-28. lpp.</w:t>
      </w:r>
      <w:r>
        <w:rPr>
          <w:rFonts w:eastAsia="Calibri" w:cs="Times New Roman (Body CS)"/>
          <w:color w:val="000000"/>
        </w:rPr>
        <w:t>). Sabiedrības intereses un citi projekta anotācijā minētie apstākļi nav izšķiroši. Projekta 4. pantā minētajos gadījumos, domājams, būs publiski tiesiskas attiecības un vienlaikus aktuāls iepriekš minētais jautājums par zemessargu disciplināratbildību.  </w:t>
      </w:r>
    </w:p>
    <w:p w:rsidR="00A0188A" w:rsidRDefault="00A0188A" w:rsidP="00A0188A">
      <w:pPr>
        <w:jc w:val="both"/>
        <w:rPr>
          <w:rFonts w:ascii="Calibri" w:hAnsi="Calibri" w:cs="Calibri"/>
          <w:color w:val="000000"/>
          <w:sz w:val="22"/>
          <w:szCs w:val="22"/>
        </w:rPr>
      </w:pPr>
      <w:r>
        <w:rPr>
          <w:rFonts w:eastAsia="Calibri" w:cs="Times New Roman (Body CS)"/>
          <w:color w:val="000000"/>
        </w:rPr>
        <w:tab/>
        <w:t xml:space="preserve">4.5. Izvērtējot nepieciešamību noteikt administratīvo atbildību konkrētas problēmsituācijas risināšanai, jākonstatē tās bīstamība vai kaitīgums sabiedrības interesēm, proti, jākonstatē, vai iespējamais pārkāpums var aizskart sabiedrības intereses tādā mērā, ka nepieciešams paredzēt administratīvo atbildību par to </w:t>
      </w:r>
      <w:proofErr w:type="gramStart"/>
      <w:r>
        <w:rPr>
          <w:rFonts w:eastAsia="Calibri" w:cs="Times New Roman (Body CS)"/>
          <w:color w:val="000000"/>
        </w:rPr>
        <w:t>(</w:t>
      </w:r>
      <w:proofErr w:type="gramEnd"/>
      <w:r>
        <w:rPr>
          <w:rFonts w:eastAsia="Calibri" w:cs="Times New Roman (Body CS)"/>
          <w:i/>
          <w:iCs/>
          <w:color w:val="000000"/>
        </w:rPr>
        <w:t xml:space="preserve">Māliņa I. Jaunu administratīvo pārkāpumu sastāvu veidošana. </w:t>
      </w:r>
      <w:proofErr w:type="spellStart"/>
      <w:r>
        <w:rPr>
          <w:rFonts w:eastAsia="Calibri" w:cs="Times New Roman (Body CS)"/>
          <w:i/>
          <w:iCs/>
          <w:color w:val="000000"/>
        </w:rPr>
        <w:t>Grām</w:t>
      </w:r>
      <w:proofErr w:type="spellEnd"/>
      <w:r>
        <w:rPr>
          <w:rFonts w:eastAsia="Calibri" w:cs="Times New Roman (Body CS)"/>
          <w:i/>
          <w:iCs/>
          <w:color w:val="000000"/>
        </w:rPr>
        <w:t>.: Administratīvo pārkāpumu tiesības. Administratīvās atbildības likuma skaidrojumi. Sagatavojis autoru kolektīvs. E. </w:t>
      </w:r>
      <w:proofErr w:type="spellStart"/>
      <w:r>
        <w:rPr>
          <w:rFonts w:eastAsia="Calibri" w:cs="Times New Roman (Body CS)"/>
          <w:i/>
          <w:iCs/>
          <w:color w:val="000000"/>
        </w:rPr>
        <w:t>Danovska</w:t>
      </w:r>
      <w:proofErr w:type="spellEnd"/>
      <w:r>
        <w:rPr>
          <w:rFonts w:eastAsia="Calibri" w:cs="Times New Roman (Body CS)"/>
          <w:i/>
          <w:iCs/>
          <w:color w:val="000000"/>
        </w:rPr>
        <w:t xml:space="preserve"> un G. Kūtra zinātniskajā redakcijā. Rīga: Tiesu namu aģentūra, 2020, 57. lpp.</w:t>
      </w:r>
      <w:r>
        <w:rPr>
          <w:rFonts w:eastAsia="Calibri" w:cs="Times New Roman (Body CS)"/>
          <w:color w:val="000000"/>
        </w:rPr>
        <w:t>). Vienlaikus pārkāpuma bīstamība un kaitīgums var būt kritērijs, kas nošķir administratīvo atbildību un kriminālatbildību. Šobrīd projekta anotācijā ietvertais pamatojums gan tieši par problēmsituācijas bīstamību un kaitīgumu, gan citviet minētais skaidrojums projekta nepieciešamībai, neliecina par tipisku administratīvajam pārkāpumam piemītošu bīstamību un kaitīgumu. Šī kritērija kontekstā jāņem vērā arī iepriekš norādītie apsvērumi par administratīva pārkāpuma un noziedzīga nodarījuma nošķiršanu. </w:t>
      </w:r>
    </w:p>
    <w:p w:rsidR="00A0188A" w:rsidRDefault="00A0188A" w:rsidP="00A0188A">
      <w:pPr>
        <w:jc w:val="both"/>
        <w:rPr>
          <w:rFonts w:ascii="Calibri" w:hAnsi="Calibri" w:cs="Calibri"/>
          <w:color w:val="000000"/>
          <w:sz w:val="22"/>
          <w:szCs w:val="22"/>
        </w:rPr>
      </w:pPr>
      <w:r>
        <w:rPr>
          <w:rFonts w:eastAsia="Calibri" w:cs="Times New Roman (Body CS)"/>
          <w:color w:val="000000"/>
        </w:rPr>
        <w:tab/>
        <w:t>4.6. Projekta anotācija nav ietverts pamatojums administratīvā soda veida un apmēra izvēlei. </w:t>
      </w:r>
    </w:p>
    <w:p w:rsidR="00A0188A" w:rsidRDefault="00A0188A" w:rsidP="00A0188A">
      <w:pPr>
        <w:jc w:val="both"/>
        <w:rPr>
          <w:rFonts w:ascii="Calibri" w:hAnsi="Calibri" w:cs="Calibri"/>
          <w:color w:val="000000"/>
          <w:sz w:val="22"/>
          <w:szCs w:val="22"/>
        </w:rPr>
      </w:pPr>
      <w:r>
        <w:rPr>
          <w:rFonts w:eastAsia="Calibri" w:cs="Times New Roman (Body CS)"/>
          <w:color w:val="000000"/>
        </w:rPr>
        <w:tab/>
        <w:t xml:space="preserve">4.7. Arī projekta anotācijas VII sadaļas 2. punktā ietverta neatbilstoša norāde, ka projektam nav ietekmes uz pārvaldes funkcijām un institucionālo struktūru. Saskaņā ar Ministru kabineta 2009. gada 15. decembra instrukcijas Nr. 19 "Tiesību akta projekta sākotnējās ietekmes izvērtēšanas kārtība" 66.1. apakšpunktu projekta anotācijā norāda, kā projekta izpilde ietekmē institūcijas funkcijas un uzdevumus. Ja funkcijas un </w:t>
      </w:r>
      <w:r>
        <w:rPr>
          <w:rFonts w:eastAsia="Calibri" w:cs="Times New Roman (Body CS)"/>
          <w:color w:val="000000"/>
        </w:rPr>
        <w:lastRenderedPageBreak/>
        <w:t>uzdevumi tiek paplašināti vai sašaurināti, sniedz skaidrojumu, kādā veidā šī paplašināšana vai sašaurināšana izriet no projektā iekļautajām normām. Šajā gadījumā ir paredzēts jauns administratīvais pārkāpums, tas vien jau maina institūciju uzdevumu apjomu. </w:t>
      </w:r>
    </w:p>
    <w:p w:rsidR="00A0188A" w:rsidRDefault="00A0188A" w:rsidP="00A0188A">
      <w:pPr>
        <w:rPr>
          <w:rFonts w:ascii="Calibri" w:eastAsia="Times New Roman" w:hAnsi="Calibri" w:cs="Calibri"/>
          <w:color w:val="000000"/>
        </w:rPr>
      </w:pPr>
    </w:p>
    <w:p w:rsidR="00A0188A" w:rsidRDefault="00A0188A" w:rsidP="00A0188A">
      <w:pPr>
        <w:rPr>
          <w:rFonts w:ascii="Calibri" w:eastAsia="Times New Roman" w:hAnsi="Calibri" w:cs="Calibri"/>
          <w:color w:val="000000"/>
        </w:rPr>
      </w:pPr>
    </w:p>
    <w:p w:rsidR="00A0188A" w:rsidRDefault="00A0188A" w:rsidP="00A0188A">
      <w:pPr>
        <w:pStyle w:val="NormalWeb"/>
        <w:rPr>
          <w:rFonts w:ascii="Calibri" w:hAnsi="Calibri" w:cs="Calibri"/>
          <w:color w:val="000000"/>
          <w:sz w:val="22"/>
          <w:szCs w:val="22"/>
          <w:shd w:val="clear" w:color="auto" w:fill="FFFFFF"/>
        </w:rPr>
      </w:pPr>
      <w:r>
        <w:rPr>
          <w:color w:val="000000"/>
          <w:bdr w:val="none" w:sz="0" w:space="0" w:color="auto" w:frame="1"/>
          <w:shd w:val="clear" w:color="auto" w:fill="FFFFFF"/>
        </w:rPr>
        <w:t>Ar cieņu,</w:t>
      </w:r>
    </w:p>
    <w:p w:rsidR="00A0188A" w:rsidRDefault="00A0188A" w:rsidP="00A0188A">
      <w:pPr>
        <w:pStyle w:val="NormalWeb"/>
        <w:rPr>
          <w:rFonts w:ascii="Calibri" w:hAnsi="Calibri" w:cs="Calibri"/>
          <w:color w:val="000000"/>
          <w:sz w:val="22"/>
          <w:szCs w:val="22"/>
          <w:shd w:val="clear" w:color="auto" w:fill="FFFFFF"/>
        </w:rPr>
      </w:pPr>
      <w:r>
        <w:rPr>
          <w:rFonts w:ascii="Calibri" w:hAnsi="Calibri" w:cs="Calibri"/>
          <w:color w:val="000000"/>
          <w:sz w:val="22"/>
          <w:szCs w:val="22"/>
          <w:bdr w:val="none" w:sz="0" w:space="0" w:color="auto" w:frame="1"/>
          <w:shd w:val="clear" w:color="auto" w:fill="FFFFFF"/>
        </w:rPr>
        <w:t> </w:t>
      </w:r>
    </w:p>
    <w:tbl>
      <w:tblPr>
        <w:tblW w:w="0" w:type="auto"/>
        <w:tblLook w:val="04A0" w:firstRow="1" w:lastRow="0" w:firstColumn="1" w:lastColumn="0" w:noHBand="0" w:noVBand="1"/>
      </w:tblPr>
      <w:tblGrid>
        <w:gridCol w:w="2263"/>
        <w:gridCol w:w="5529"/>
      </w:tblGrid>
      <w:tr w:rsidR="00A0188A" w:rsidTr="00A0188A">
        <w:tc>
          <w:tcPr>
            <w:tcW w:w="2263" w:type="dxa"/>
            <w:vAlign w:val="center"/>
            <w:hideMark/>
          </w:tcPr>
          <w:p w:rsidR="00A0188A" w:rsidRDefault="00A0188A">
            <w:pPr>
              <w:pStyle w:val="NormalWeb"/>
              <w:rPr>
                <w:rFonts w:ascii="Calibri" w:hAnsi="Calibri" w:cs="Calibri"/>
                <w:sz w:val="22"/>
                <w:szCs w:val="22"/>
              </w:rPr>
            </w:pPr>
            <w:r>
              <w:rPr>
                <w:rFonts w:ascii="Calibri" w:hAnsi="Calibri" w:cs="Calibri"/>
                <w:noProof/>
                <w:sz w:val="22"/>
                <w:szCs w:val="22"/>
              </w:rPr>
              <w:drawing>
                <wp:inline distT="0" distB="0" distL="0" distR="0">
                  <wp:extent cx="1247775" cy="981075"/>
                  <wp:effectExtent l="0" t="0" r="9525" b="9525"/>
                  <wp:docPr id="1" name="Picture 1" descr="cid:4bfb0c8a-6d26-4e8c-876e-28e3dd88d8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4bfb0c8a-6d26-4e8c-876e-28e3dd88d8f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47775" cy="981075"/>
                          </a:xfrm>
                          <a:prstGeom prst="rect">
                            <a:avLst/>
                          </a:prstGeom>
                          <a:noFill/>
                          <a:ln>
                            <a:noFill/>
                          </a:ln>
                        </pic:spPr>
                      </pic:pic>
                    </a:graphicData>
                  </a:graphic>
                </wp:inline>
              </w:drawing>
            </w:r>
          </w:p>
        </w:tc>
        <w:tc>
          <w:tcPr>
            <w:tcW w:w="5529" w:type="dxa"/>
            <w:vAlign w:val="center"/>
            <w:hideMark/>
          </w:tcPr>
          <w:p w:rsidR="00A0188A" w:rsidRDefault="00A0188A">
            <w:pPr>
              <w:pStyle w:val="NormalWeb"/>
              <w:rPr>
                <w:b/>
                <w:bCs/>
              </w:rPr>
            </w:pPr>
            <w:r>
              <w:rPr>
                <w:b/>
                <w:bCs/>
                <w:color w:val="000000"/>
                <w:sz w:val="22"/>
                <w:szCs w:val="22"/>
                <w:bdr w:val="none" w:sz="0" w:space="0" w:color="auto" w:frame="1"/>
                <w:shd w:val="clear" w:color="auto" w:fill="FFFFFF"/>
              </w:rPr>
              <w:t>Uldis Rudziks</w:t>
            </w:r>
          </w:p>
          <w:p w:rsidR="00A0188A" w:rsidRDefault="00A0188A">
            <w:pPr>
              <w:pStyle w:val="NormalWeb"/>
            </w:pPr>
            <w:r>
              <w:rPr>
                <w:color w:val="000000"/>
                <w:sz w:val="22"/>
                <w:szCs w:val="22"/>
                <w:bdr w:val="none" w:sz="0" w:space="0" w:color="auto" w:frame="1"/>
                <w:shd w:val="clear" w:color="auto" w:fill="FFFFFF"/>
              </w:rPr>
              <w:t>Tieslietu ministrijas</w:t>
            </w:r>
          </w:p>
          <w:p w:rsidR="00A0188A" w:rsidRDefault="00A0188A">
            <w:pPr>
              <w:pStyle w:val="NormalWeb"/>
            </w:pPr>
            <w:r>
              <w:rPr>
                <w:color w:val="000000"/>
                <w:sz w:val="22"/>
                <w:szCs w:val="22"/>
                <w:bdr w:val="none" w:sz="0" w:space="0" w:color="auto" w:frame="1"/>
                <w:shd w:val="clear" w:color="auto" w:fill="FFFFFF"/>
              </w:rPr>
              <w:t>Valststiesību departamenta</w:t>
            </w:r>
          </w:p>
          <w:p w:rsidR="00A0188A" w:rsidRDefault="00A0188A">
            <w:pPr>
              <w:pStyle w:val="NormalWeb"/>
            </w:pPr>
            <w:r>
              <w:rPr>
                <w:color w:val="000000"/>
                <w:sz w:val="22"/>
                <w:szCs w:val="22"/>
                <w:bdr w:val="none" w:sz="0" w:space="0" w:color="auto" w:frame="1"/>
                <w:shd w:val="clear" w:color="auto" w:fill="FFFFFF"/>
              </w:rPr>
              <w:t>Administratīvo tiesību nodaļas jurists</w:t>
            </w:r>
          </w:p>
          <w:p w:rsidR="00A0188A" w:rsidRDefault="00A0188A">
            <w:pPr>
              <w:pStyle w:val="NormalWeb"/>
            </w:pPr>
            <w:r>
              <w:rPr>
                <w:color w:val="000000"/>
                <w:sz w:val="22"/>
                <w:szCs w:val="22"/>
                <w:bdr w:val="none" w:sz="0" w:space="0" w:color="auto" w:frame="1"/>
                <w:shd w:val="clear" w:color="auto" w:fill="FFFFFF"/>
              </w:rPr>
              <w:t>tālr. 67036902</w:t>
            </w:r>
          </w:p>
          <w:p w:rsidR="00A0188A" w:rsidRDefault="00A0188A">
            <w:pPr>
              <w:pStyle w:val="NormalWeb"/>
            </w:pPr>
            <w:r>
              <w:rPr>
                <w:color w:val="000000"/>
                <w:sz w:val="22"/>
                <w:szCs w:val="22"/>
                <w:bdr w:val="none" w:sz="0" w:space="0" w:color="auto" w:frame="1"/>
                <w:shd w:val="clear" w:color="auto" w:fill="FFFFFF"/>
              </w:rPr>
              <w:t xml:space="preserve">E-pasts: </w:t>
            </w:r>
            <w:hyperlink r:id="rId5" w:history="1">
              <w:r>
                <w:rPr>
                  <w:rStyle w:val="Hyperlink"/>
                  <w:sz w:val="22"/>
                  <w:szCs w:val="22"/>
                  <w:bdr w:val="none" w:sz="0" w:space="0" w:color="auto" w:frame="1"/>
                  <w:shd w:val="clear" w:color="auto" w:fill="FFFFFF"/>
                </w:rPr>
                <w:t>Uldis.Rudziks@tm.gov.lv</w:t>
              </w:r>
            </w:hyperlink>
          </w:p>
        </w:tc>
      </w:tr>
    </w:tbl>
    <w:p w:rsidR="00A0188A" w:rsidRDefault="00A0188A" w:rsidP="00A0188A">
      <w:pPr>
        <w:rPr>
          <w:rFonts w:eastAsia="Times New Roman"/>
        </w:rPr>
      </w:pPr>
    </w:p>
    <w:p w:rsidR="00A0188A" w:rsidRDefault="00A0188A" w:rsidP="00A0188A">
      <w:pPr>
        <w:rPr>
          <w:rFonts w:ascii="Arial" w:eastAsia="Times New Roman" w:hAnsi="Arial" w:cs="Arial"/>
          <w:b/>
          <w:bCs/>
          <w:i/>
          <w:iCs/>
          <w:color w:val="002060"/>
          <w:sz w:val="22"/>
          <w:szCs w:val="22"/>
        </w:rPr>
      </w:pPr>
      <w:r>
        <w:rPr>
          <w:rFonts w:ascii="Arial" w:eastAsia="Times New Roman" w:hAnsi="Arial" w:cs="Arial"/>
          <w:b/>
          <w:bCs/>
          <w:i/>
          <w:iCs/>
          <w:color w:val="002060"/>
          <w:sz w:val="22"/>
          <w:szCs w:val="22"/>
        </w:rPr>
        <w:t xml:space="preserve">Šis e-pasts un tā pielikumā esošie dokumenti var saturēt ierobežotas pieejamības informāciju, cita starpā fizisko personu datus, kas adresēta tikai tā saņēmējam un izmantojama tikai leģitīmiem mērķiem. Ja esat saņēmis šo e-pastu kļūdas dēļ, vai </w:t>
      </w:r>
      <w:proofErr w:type="gramStart"/>
      <w:r>
        <w:rPr>
          <w:rFonts w:ascii="Arial" w:eastAsia="Times New Roman" w:hAnsi="Arial" w:cs="Arial"/>
          <w:b/>
          <w:bCs/>
          <w:i/>
          <w:iCs/>
          <w:color w:val="002060"/>
          <w:sz w:val="22"/>
          <w:szCs w:val="22"/>
        </w:rPr>
        <w:t>nav pamatota mērķa ierobežotas pieejamības informācijas, cita starpā fizisko personu</w:t>
      </w:r>
      <w:proofErr w:type="gramEnd"/>
      <w:r>
        <w:rPr>
          <w:rFonts w:ascii="Arial" w:eastAsia="Times New Roman" w:hAnsi="Arial" w:cs="Arial"/>
          <w:b/>
          <w:bCs/>
          <w:i/>
          <w:iCs/>
          <w:color w:val="002060"/>
          <w:sz w:val="22"/>
          <w:szCs w:val="22"/>
        </w:rPr>
        <w:t xml:space="preserve"> datu, apstrādei, Jums nav tiesību izmantot vai pārsūtīt šajā e-pastā un tam pievienotajos dokumentos ietverto informāciju. Šādā gadījumā nekavējoties neatgriezeniski izdzēsiet šo e-pastu.</w:t>
      </w:r>
      <w:bookmarkEnd w:id="0"/>
    </w:p>
    <w:p w:rsidR="00C51421" w:rsidRDefault="00C51421"/>
    <w:sectPr w:rsidR="00C5142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 (Body CS)">
    <w:panose1 w:val="00000000000000000000"/>
    <w:charset w:val="00"/>
    <w:family w:val="roman"/>
    <w:notTrueType/>
    <w:pitch w:val="default"/>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88A"/>
    <w:rsid w:val="00A0188A"/>
    <w:rsid w:val="00C51421"/>
    <w:rsid w:val="00F457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34E73-83C6-4ECE-B916-C96B5B008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88A"/>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0188A"/>
    <w:rPr>
      <w:color w:val="0000FF"/>
      <w:u w:val="single"/>
    </w:rPr>
  </w:style>
  <w:style w:type="paragraph" w:styleId="NormalWeb">
    <w:name w:val="Normal (Web)"/>
    <w:basedOn w:val="Normal"/>
    <w:uiPriority w:val="99"/>
    <w:semiHidden/>
    <w:unhideWhenUsed/>
    <w:rsid w:val="00A01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25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ldis.Rudziks@tm.gov.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7582</Words>
  <Characters>4322</Characters>
  <Application>Microsoft Office Word</Application>
  <DocSecurity>4</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Romanova</dc:creator>
  <cp:keywords/>
  <dc:description/>
  <cp:lastModifiedBy>Vita Upeniece</cp:lastModifiedBy>
  <cp:revision>2</cp:revision>
  <dcterms:created xsi:type="dcterms:W3CDTF">2021-03-18T14:21:00Z</dcterms:created>
  <dcterms:modified xsi:type="dcterms:W3CDTF">2021-03-18T14:21:00Z</dcterms:modified>
</cp:coreProperties>
</file>