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25. aprīļa noteikumos Nr. 203 "Ražotāju organizāciju atzīšanas un atbalsta piešķiršanas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(07.03.2025.)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14:59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cilvēku tirdzniecība un ar to saistītā personu vai nepilngadīgo izmantošana, aizskaršana, apdraudēšana vai kaitējuma nodarīšana, ja tā tikusi īstenota individuāli, ar personu grupu pēc iepriekšējas vienošanās vai organizētas grupas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1.pielikumā kā izslēgšanas kritērijs norādīts Krimināllikuma 154.</w:t>
            </w:r>
            <w:r w:rsidR="00000000" w:rsidRPr="00000000" w:rsidDel="00000000">
              <w:rPr>
                <w:vertAlign w:val="superscript"/>
                <w:rtl w:val="0"/>
              </w:rPr>
              <w:t xml:space="preserve">1</w:t>
            </w:r>
            <w:r w:rsidR="00000000" w:rsidRPr="00000000" w:rsidDel="00000000">
              <w:rPr>
                <w:rtl w:val="0"/>
              </w:rPr>
              <w:t xml:space="preserve"> pants (cilvēku tirdzniecība) un attiecīgi noteikumu 4.2.1.5. apakšpunktā ir ietverts izslēgšanas kritērijs - cilvēku tirdzniecība un ar to saistītā personu vai nepilngadīgo izmantošana, aizskaršana, apdraudēšana vai kaitējuma nodarīšana, ja tā tikusi īstenota individuāli, ar personu grupu pēc iepriekšējas vienošanās vai organizētas grupas veidā. Vienlaikus projekta anotācijā ietverts skaidrojums, ka Lauku atbalsta dienests (turpmāk  LAD) Sodu reģistra likuma ietvaros veic pārbaudes, izmantojot tikai tās ziņas, kas tiek glabātas un uzkrātas minētā reģistra likuma ietvaros. Reģistrā iekļautās ziņas ļauj LAD konstatēt, vai attiecīgajai personai ir stājies spēkā un kļuvis nepārsūdzams nolēmums par vainīguma atzīšanu kādā no noteikumu 4.2.1. un 4.2.3. apakšpunktā minētajiem pārkāpumiem (piemēram, korupcija, krāpšana, noziedzīgi iegūtu līdzekļu legalizēšana, cilvēku tirdzniecība u.c.). Atkārtoti norādam, ka tik detalizēti dati Sodu reģistrā netiek uzkrāti. Sodu reģistrā tiek uzkrātas ziņas par kriminālprocesa juridisko kvalifikāciju, nevis prettiesisko darbību apraksts. Lai arī projekta anotācijā norādīts, ka LAD no Sodu reģistra saņem likumā ietvaros uzkrātās ziņas, tomēr nav viennozīmīgi skaidrs kur LAD, kad saņems ziņas no Sodu reģistra par personu, kura notiesāta par Krimināllikuma 154.</w:t>
            </w:r>
            <w:r w:rsidR="00000000" w:rsidRPr="00000000" w:rsidDel="00000000">
              <w:rPr>
                <w:vertAlign w:val="superscript"/>
                <w:rtl w:val="0"/>
              </w:rPr>
              <w:t xml:space="preserve">1</w:t>
            </w:r>
            <w:r w:rsidR="00000000" w:rsidRPr="00000000" w:rsidDel="00000000">
              <w:rPr>
                <w:rtl w:val="0"/>
              </w:rPr>
              <w:t xml:space="preserve"> pantu, varēs saņemt ziņas vai attiecīgajā noziedzīgā nodarījumā ir konstatēta piemēram, nepilngadīgo personu izmantošana, aizskaršana, apdraudēšana vai kaitējuma nodarīšana, ja tā tikusi īstenota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precizēt noteikumu 4.2.1.5. un 4.2.1.6.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projekta anotāciju, aizstājot vārdus “Soda reģistrs” ar vārdiem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4.2.1.5. un 4.2.1.6. apakšpunkts, kā arī projekta anotācija, ņemot vērā iesniegtos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cilvēku tirdzniecība;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Šo noteikumu 62.</w:t>
            </w:r>
            <w:r w:rsidR="00000000" w:rsidRPr="00000000" w:rsidDel="00000000">
              <w:rPr>
                <w:vertAlign w:val="superscript"/>
                <w:rtl w:val="0"/>
              </w:rPr>
              <w:t xml:space="preserve">1</w:t>
            </w:r>
            <w:r w:rsidR="00000000" w:rsidRPr="00000000" w:rsidDel="00000000">
              <w:rPr>
                <w:rtl w:val="0"/>
              </w:rPr>
              <w:t xml:space="preserve"> un 67.</w:t>
            </w:r>
            <w:r w:rsidR="00000000" w:rsidRPr="00000000" w:rsidDel="00000000">
              <w:rPr>
                <w:vertAlign w:val="superscript"/>
                <w:rtl w:val="0"/>
              </w:rPr>
              <w:t xml:space="preserve">1</w:t>
            </w:r>
            <w:r w:rsidR="00000000" w:rsidRPr="00000000" w:rsidDel="00000000">
              <w:rPr>
                <w:rtl w:val="0"/>
              </w:rPr>
              <w:t xml:space="preserve"> punktu, kā arī grozījumus šo noteikumu 89. punktā piemēro darbības programmas pasākumiem, kas tiek īstenoti, sākot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projekta 60. punktā paredzēto Ministru kabineta 2023. gada 25. aprīļa noteikumu Nr.203 “Ražotāju organizāciju atzīšanas un atbalsta piešķiršanas kārtība” (turpmāk – noteikumi) 182. punktu – pārejas regulējumu par grozījumu noteikumu 89. punktā piemērošanu ar 2026. gada 1. janvāri. Saistībā ar pārejas noteikumu veidošanu atkārtoti norādām, ka noteikumu 89. punkts ir šobrīd spēkā esoša un piemērojama norma, tādējādi pārejas regulējumu nevar veidot ar formālu atsauci uz konkrētu punktu, bet kopā ar punkta norādi jābūt grozījumu skaidrojumam. Turklāt noteikumu 89. punkts ir par intervenču īstenošanas komandējumu izdevumiem, nevis darbības programmu pasākumiem. Vēršam uzmanību, ka grozītām normām var veidot pārejas regulējumu, piemēram, par šādas normas atliktu piemērošanu, bet tādā gadījumā pārejas regulējums jāveido precīzi, identificējot visu piemērojamo jauno regulējumu. Papildus norādām, ka minētais regulējums skars fiziskas personas materiālās intereses, tādēļ tas jāveido precīzi.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182. punkts, ņemot vērā iesniegtos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Šo noteikumu 62.</w:t>
            </w:r>
            <w:r w:rsidR="00000000" w:rsidRPr="00000000" w:rsidDel="00000000">
              <w:rPr>
                <w:vertAlign w:val="superscript"/>
                <w:rtl w:val="0"/>
              </w:rPr>
              <w:t xml:space="preserve">1</w:t>
            </w:r>
            <w:r w:rsidR="00000000" w:rsidRPr="00000000" w:rsidDel="00000000">
              <w:rPr>
                <w:rtl w:val="0"/>
              </w:rPr>
              <w:t xml:space="preserve"> un 67.</w:t>
            </w:r>
            <w:r w:rsidR="00000000" w:rsidRPr="00000000" w:rsidDel="00000000">
              <w:rPr>
                <w:vertAlign w:val="superscript"/>
                <w:rtl w:val="0"/>
              </w:rPr>
              <w:t xml:space="preserve">1</w:t>
            </w:r>
            <w:r w:rsidR="00000000" w:rsidRPr="00000000" w:rsidDel="00000000">
              <w:rPr>
                <w:rtl w:val="0"/>
              </w:rPr>
              <w:t xml:space="preserve"> punktu, kā arī grozījumus 89. punktā, kas paredz izmaiņas ar intervenču īstenošanu saistītajiem komandējuma izdevumiem, piemēro darbības programmas pasākumiem, kas tiek īstenoti, sākot no 2026. gada 1. janvāra.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10:46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cilvēku tirdzniecība un ar to saistītā personu vai nepilngadīgo izmantošana, aizskaršana, apdraudēšana vai kaitējuma nodarīšana, ja tā tikusi īstenota individuāli, ar personu grupu pēc iepriekšējas vienošanās vai organizētas grupas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 "Sodu reģistrs" uzkrāj datus tikai par noziedzīga nodarījuma kvalifikāciju (attiecīgu Krimināllikuma panta daļu), nevis darbībām, kas ietverās attiecīgā noziedzīgā nodarījumā (piemēram, vai ir veikta personas aizskaršana un vai tā ir veikta individuāli). Lai radītu viennozīmīgu izpratni par izsniedzamo ziņu apjomu no valsts informācijas sistēmas "Sodu reģistrs", ņemot vērā, ka minētajā valsts informācijas sistēmā noziedzīgie nodarījumi, par kuru izdarīšanu persona ir sodīta, tiek atlasīti pēc noteiktiem kritērijiem, attiecīgi precizēt projekta 4.2.1.5.apakšpunktā paredzēto saņemamo ziņu apjomu no valsts informācijas sistēmas "Sodu reģistrs".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izsniedzamo ziņu apjomu no valsts informācijas sistēmas "Sodu reģistrs",  attiecīgi precizēta anotācijas 1.3. sadaļa, papildus norādot paredzēto saņemamo ziņu apjomu no minētā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šī noteikuma projekta 1. pielikumu, kurā tiek atrunāti visi šie Krimināllikuma punkti, kā arī citas attiecināmās tiesību aktu normas uz kuru pamata tiek prasīta informācija no “Sodu reģistra”, lai pamatoti varētu izvērtēt un nepieciešamības gadījumā noraidīt atbalsta pretendenta RO atzīšanas iesniegumu kā arī darbības fondu.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cilvēku tirdzniecība;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personas nodarbināšana, ierobežošana, vienas vai vairāk nekā piecu personu (arī to, kuras nav tiesīgas uzturēties Latvijas Republikā vai Eiropas Savienības dalībvalstu teritorijā) nodarbināšana, nepilngadīgā nodarbināšana, personas nodarbināšana īpaši ekspluatējošos darba apstākļos, apzinātas cilvēku tirdzniecības upura nodarbināšana, kā arī citas situācijas, kas saistītas ar personas nodarbināšanas noteikumu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datu avotu šādu ziņu iegūšanai, attiecīgi papildināt projekta anotāciju. Ja minēto informāciju plānots iegūt no valsts informācijas sistēmas "Sodu reģistrs", papildināt projekta anotāciju, norādot izsniedzamo ziņu apjomu no valsts informācijas sistēmas "Sodu reģistrs", ņemot vērā, ka minētajā valsts informācijas sistēmā noziedzīgie nodarījumi, par kuru izdarīšanu persona ir sodīta, tiek atlasīti pēc noteiktiem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kas saprotams ar vārdu tvērumu "kā arī citas situācijas, kas saistītas ar personas nodarbināšanas noteikumu pārkāpumiem", jo Krimināllikuma 280.pantā šādas darbības nav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precizējot izsniedzamo ziņu apjomu no valsts informācijas sistēmas "Sodu reģistrs", kā arī skaidrots vārdu tvērums ‘kā arī citas situācijas, kas saistītas ar personas nodarbināšanas noteikumu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personas nodarbināšana noteikumu pārkāpumi;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līdz šo noteikumu </w:t>
            </w:r>
            <w:r w:rsidR="00000000" w:rsidRPr="00000000" w:rsidDel="00000000">
              <w:rPr>
                <w:rtl w:val="0"/>
              </w:rPr>
              <w:t xml:space="preserve">15.</w:t>
            </w:r>
            <w:r w:rsidR="00000000" w:rsidRPr="00000000" w:rsidDel="00000000">
              <w:rPr>
                <w:rtl w:val="0"/>
              </w:rPr>
              <w:t xml:space="preserve"> punktā un </w:t>
            </w:r>
            <w:r w:rsidR="00000000" w:rsidRPr="00000000" w:rsidDel="00000000">
              <w:rPr>
                <w:rtl w:val="0"/>
              </w:rPr>
              <w:t xml:space="preserve">41.1.</w:t>
            </w:r>
            <w:r w:rsidR="00000000" w:rsidRPr="00000000" w:rsidDel="00000000">
              <w:rPr>
                <w:rtl w:val="0"/>
              </w:rPr>
              <w:t xml:space="preserve"> apakšpunktā minēto dokumentu iesniegšanas dienai ir pagājuši mazāk nekā 12 mēneši no dienas, kad kļuvis neapstrīdams un nepārsūdzams tiesas spriedums vai citas kompetentas institūcijas pieņemtais lēmums, kurā ražotāju organizācija atzīta par vainīgu konkurences tiesību pārkāpumā, kas izpaužas kā vertikālā vienošanās, kuras mērķis ir ierobežot pircēja iespēju noteikt tālākpārdošanas cenu, vai horizontālā karteļa vienošanās, ja vien attiecīgā institūcija, konstatējusi konkurences tiesību pārkāpumu, par sadarbību iecietības programmā projekta iesniedzēju nav atbrīvojusi no naudas soda vai to samazinājusi;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datu avotu šādu ziņu iegūšanai, attiecīgi papildināt projekta anotāciju. Ja minēto informāciju plānots iegūt no valsts informācijas sistēmas "Sodu reģistrs", papildināt projekta anotāciju, norādot izsniedzamo ziņu apjomu no valsts informācijas sistēmas "Sodu reģistrs", ņemot vērā, ka minētajā valsts informācijas sistēmā noziedzīgie nodarījumi, par kuru izdarīšanu persona ir sodīta, tiek atlasīti pēc noteiktiem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norādot izsniedzamo ziņu apjomu no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līdz šo noteikumu </w:t>
            </w:r>
            <w:r w:rsidR="00000000" w:rsidRPr="00000000" w:rsidDel="00000000">
              <w:rPr>
                <w:rtl w:val="0"/>
              </w:rPr>
              <w:t xml:space="preserve">15.</w:t>
            </w:r>
            <w:r w:rsidR="00000000" w:rsidRPr="00000000" w:rsidDel="00000000">
              <w:rPr>
                <w:rtl w:val="0"/>
              </w:rPr>
              <w:t xml:space="preserve"> punktā un </w:t>
            </w:r>
            <w:r w:rsidR="00000000" w:rsidRPr="00000000" w:rsidDel="00000000">
              <w:rPr>
                <w:rtl w:val="0"/>
              </w:rPr>
              <w:t xml:space="preserve">41.1.</w:t>
            </w:r>
            <w:r w:rsidR="00000000" w:rsidRPr="00000000" w:rsidDel="00000000">
              <w:rPr>
                <w:rtl w:val="0"/>
              </w:rPr>
              <w:t xml:space="preserve"> apakšpunktā minēto dokumentu iesniegšanas dienai ir pagājuši mazāk nekā 12 mēneši no dienas, kad kļuvis neapstrīdams un nepārsūdzams tiesas spriedums vai citas kompetentas institūcijas pieņemtais lēmums, kurā ražotāju organizācija atzīta par vainīgu konkurences tiesību pārkāpumā, kas izpaužas kā vertikālā vienošanās, kuras mērķis ir ierobežot pircēja iespēju noteikt tālākpārdošanas cenu, vai horizontālā karteļa vienošanās, ja vien attiecīgā institūcija, konstatējusi konkurences tiesību pārkāpumu, par sadarbību iecietības programmā projekta iesniedzēju nav atbrīvojusi no naudas soda vai to samazinājusi;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atbalsta pretendents, tā kapitāldaļu turētājs, kam pieder vairāk nekā 25 procenti kapitāldaļu, valdes vai padomes loceklis, prokūrists vai persona, kas ir pilnvarota pārstāvēt projekta iesniedzēju ar filiāli saistītās darbībās, ar tādu attiecīgajā jomā kompetentas institūcijas lēmumu par sodu vai tiesas spriedumu, kas stājies spēkā un kļuvis nepārsūdzams, ir atzīti par vainīgu un sodīti par pārkāpumu, kas izpaužas kā vienas vai vairāku personu nodarbināšana, ja tām nav nepieciešamās darba atļaujas vai ja tās nav tiesīgas uzturēties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datu avotu šādu ziņu iegūšanai, attiecīgi papildināt projekta anotāciju. Ja minēto informāciju plānots iegūt no valsts informācijas sistēmas "Sodu reģistrs", papildināt projekta anotāciju, norādot izsniedzamo ziņu apjomu no valsts informācijas sistēmas "Sodu reģistrs", ņemot vērā, ka minētajā valsts informācijas sistēmā noziedzīgie nodarījumi, par kuru izdarīšanu persona ir sodīta, tiek atlasīti pēc noteiktiem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norādot izsniedzamo ziņu apjomu no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atbalsta pretendents, tā kapitāldaļu turētājs, kam pieder vairāk nekā 25 procenti kapitāldaļu, valdes vai padomes loceklis, prokūrists vai persona, kas ir pilnvarota pārstāvēt projekta iesniedzēju ar filiāli saistītās darbībās, ar tādu attiecīgajā jomā kompetentas institūcijas lēmumu par sodu vai tiesas spriedumu, kas stājies spēkā un kļuvis nepārsūdzams, ir atzīti par vainīgu un sodīti par pārkāpumu, kas izpaužas kā vienas vai vairāku personu nodarbināšana, ja tām nav nepieciešamās darba atļaujas vai ja tās nav tiesīgas uzturēties Eiropas Savienības dalībvalstī;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25. aprīļa noteikumos Nr. 203 "Ražotāju organizāciju atzīšanas un atbalsta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1.punktu noteikumu 4.punkts tiek izteikts jaunā redakcijā. Rezultātā tajā vairs netiek iekļauts šobrīd noteikumos noteiktais atbalsta piešķiršanu ierobežojošais nosacījums - ražotāju organizācija atzīta par vainīgu </w:t>
            </w:r>
            <w:r w:rsidR="00000000" w:rsidRPr="00000000" w:rsidDel="00000000">
              <w:rPr>
                <w:i w:val="1"/>
                <w:rtl w:val="0"/>
              </w:rPr>
              <w:t xml:space="preserve">personas nodarbināšanā, nodokļus regulējošajos normatīvajos aktos noteiktajā termiņā par šo personu neiesniedzot informatīvo deklarāciju par darba ņēmēju, kad tas uzsāk darbu.</w:t>
            </w:r>
            <w:r w:rsidR="00000000" w:rsidRPr="00000000" w:rsidDel="00000000">
              <w:rPr>
                <w:rtl w:val="0"/>
              </w:rPr>
              <w:t xml:space="preserve"> Lūdzam anotācijā skaidrot, kāpēc šāda nosacījuma (kā izslēdzošā kritērija) vērtēšana vairs nav aktuāla un ņemama vērā, izvērtējot ražotāju organizācijas iesniegto atzīšanas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gadījumā konkrēto kritēriju plānots vērtēt piedāvātā 4.2.1.6.apakšpunkta ietvaros - </w:t>
            </w:r>
            <w:r w:rsidR="00000000" w:rsidRPr="00000000" w:rsidDel="00000000">
              <w:rPr>
                <w:i w:val="1"/>
                <w:rtl w:val="0"/>
              </w:rPr>
              <w:t xml:space="preserve">personas nodarbināšana, ierobežošana, vienas vai vairāk nekā piecu personu (arī to, kuras nav tiesīgas uzturēties Latvijas Republikā vai Eiropas Savienības dalībvalstu teritorijā) nodarbināšana, nepilngadīgā nodarbināšana, personas nodarbināšana īpaši ekspluatējošos darba apstākļos, apzinātas cilvēku tirdzniecības upura nodarbināšana, kā arī citas situācijas, kas saistītas ar personas nodarbināšanas noteikumu pārkāpumiem - </w:t>
            </w:r>
            <w:r w:rsidR="00000000" w:rsidRPr="00000000" w:rsidDel="00000000">
              <w:rPr>
                <w:rtl w:val="0"/>
              </w:rPr>
              <w:t xml:space="preserve">lūdzam to atspoguļot anotācijā (jo atbildība par konkrētās informatīvās deklarācijas neiesniegšanu ir noteikta likumā "Par nodokļiem un nodevām", nevis darba jomu regulējošā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sadaļa,precizējot, ka, lai nodrošinātu tiesisku, samērīgu un praktiski īstenojamu atbalsta pretendentu pārbaudi, kā arī nodrošinātu vienotu pieeju ELGF un ELFLA, noteikumu 4. punktā no spēkā esošiem ELFLA noteikumiem ir pārņemti atbalsta piešķiršanu ierobežojošie nosacījumi un piemērojamās finanšu korekcijas atbalsta pretendentam.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izvērtēšanā tiek ņemti vērā tikai nopietni nodarbināšanas pārkāpumi, piemēram, nepilngadīgo nodarbināšana, nodarbināšana īpaši ekspluatējošos darba apstākļos, vienas vai vairāk nekā piecu personu nodarbināšana personām, kurām nav tiesību uzturēties Latvijas Republikā vai citās ES valstīs, apzināta cilvēku tirdzniecības upuru nodarbināšana, kā arī citas administratīvi nozīmīgas situācijas saistībā ar personas nodarbināšanas noteikumu pārkāpumiem. Tādejādi administratīvi mazie pārkāpumi, piemēram, informatīvās deklarācijas neiesniegšana nodokļu iestādēm, netiek kvalificēti kā izslēdzošs kritērijs atbalsta piešķiršanas izvērtēšanā, saglabājot atbilstību ELFLA piemērotajiem principiem un nodrošinot vienotu praksi attiecībā uz atbalsta saņēmēju atbilstības izvērtēšanu. Saskaņā ar noteikumu 14. punktu Valsts ieņēmumu dienesta administrēto nodokļu (nodevu) parādnieku datubāzē publiski pieejamo informāciju ražotāju organizācijas nodokļu parāda kopsumma nedrīkst pārsniegt 1000 euro, kas nozīmē to, ka LAD pirms ražotāju organizācijas atzīšanu un atbalsta izmaksas veic nodokļu parāda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precizēt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pilnībā skaidrots, kā ir izmantotas visas Eiropas Savienības tiesību aktos paredzētās rīcības brīvība, piemēram, arī regulas 2022/126 23. panta 3. punktā paredzēts, ka "Dalībvalstis [..], var paredzēt vienotu standartlikmi personāla un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 redakcijai un tajā ietvertajām atsaucēm uz Eiropas Savienības tiesību aktiem gan projektā, gan tā pielikumos ieviestas arī citas, anotācijas 5.sadaļā neskaidrotas tiesību normas un tiesību akti, piemēram, regulas 2022/126 21. panta 1. punkts projekta 34. 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izziņā skaidrotajam par to, ka "</w:t>
            </w:r>
            <w:r w:rsidR="00000000" w:rsidRPr="00000000" w:rsidDel="00000000">
              <w:rPr>
                <w:i w:val="1"/>
                <w:rtl w:val="0"/>
              </w:rPr>
              <w:t xml:space="preserve">Savukārt 67.¹ punkts papildina 65. punktā noteikto personāla izmaksu segšanas kārtību, to sasaistot ar Eiropas Parlamenta un Padomes Regulas (ES) 2021/2115 44. panta pirmajā punktā minētajiem atbalsta veidiem</w:t>
            </w:r>
            <w:r w:rsidR="00000000" w:rsidRPr="00000000" w:rsidDel="00000000">
              <w:rPr>
                <w:rtl w:val="0"/>
              </w:rPr>
              <w:t xml:space="preserve">", nodrošinot atbilstību Eiropas Savienības tiesiskajam regulējumam, saprotams, ka projekta 28. punkts nodrošina regulas 2021/2115 prasību ieviesanu, kas nav atspoguļots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projektā veiktajiem precizējumiem, mainījusies tā vienību numerācija, kas nav aktualizēta anotācijas 5.4. apakšsadaļas 1. tabulā, bet, pamatojoties uz precizēto projekta 37.punktu (iepriekš 35.punkts) "2022/126 11. panta 4. punkts" ieviešana vairs nav aktuāla.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atbalsta pretendenta dalībniekiem un to saistītajām personām, kuras reģistrētas valstī vai teritorijā, kas minēta normatīvajos aktos par zemu nodokļu vai beznodokļu valstīm vai teritorijām, pieder vairāk nekā 25 procenti kapitāldaļu;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4.1.1.apakšpunktā, ņemot vērā Ministru kabineta 2023. gada 27. jūnija noteikumus Nr. 333 "Zemu nodokļu vai beznodokļu valstu un teritoriju saraksts", atsauce uz normatīvo aktu nav aktualizējama šādā redakcijā: "normatīvajos aktos par zemu nodokļu vai beznodokļu valstīm</w:t>
            </w:r>
            <w:r w:rsidR="00000000" w:rsidRPr="00000000" w:rsidDel="00000000">
              <w:rPr>
                <w:u w:val="single"/>
                <w:rtl w:val="0"/>
              </w:rPr>
              <w:t xml:space="preserve"> un</w:t>
            </w:r>
            <w:r w:rsidR="00000000" w:rsidRPr="00000000" w:rsidDel="00000000">
              <w:rPr>
                <w:rtl w:val="0"/>
              </w:rPr>
              <w:t xml:space="preserve"> teritorijām", nodrošinot precīzu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4.1.1. apakšpunkts saskaņā ar saņemtajiem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atbalsta pretendenta dalībniekiem un to saistītajām personām, kuras reģistrētas valstī vai teritorijā, kas minēta normatīvajos aktos par zemu nodokļu vai beznodokļu valstīm un teritorijām, pieder vairāk nekā 25 procenti kapitāldaļu;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65.</w:t>
            </w:r>
            <w:r w:rsidR="00000000" w:rsidRPr="00000000" w:rsidDel="00000000">
              <w:rPr>
                <w:rtl w:val="0"/>
              </w:rPr>
              <w:t xml:space="preserve"> punktā minētās personāla izmaksas sedz saskaņā ar Zemkopības ministrijas apstiprināto metodiku "Vienas vienības izmaksas – stundas likmes atalgojums sadarbības partneriem", piemērojot attiecīgajai amata grupai noteikto vienības izmaksu likmi. Ja amata grupa nav minētajā metodikā iekļauta, izmaksas tiek segtas atbilstoši to faktiskajam apmēram, pamatojoties uz izdevumus apliecinošiem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arī Zemkopības ministrijas izstrādātās metodikas ir iekšēji normatīvie akti, kas ir saistoši iestādei (tās struktūrvienībai, darbiniekiem) vai amatpersonām, attiecībā uz kurām tas izdots (sk. Valsts pārvaldes iekārtas likuma 72. panta ceturto daļu). Attiecīgi metodikas u.tml. dokumenti nav saistoši privātpersonām - atbalsta pretendentiem un saņēmējiem, un tās par saistošām nevar padarīt arī ar atsauci projektā. Nepieciešamības gadījumā vadlīniju saturs jāpārņem projektā vai jāietver ar minētajām privātpersonām saskaņā ar Noteikumiem noslēgtā līgumā (ja attiecināms). Gadījumā, ja ir nepieciešamas un pamatojamas šādas atsauces, lūdzam sniegt anotācijā attiecīgu skaidrojumu, ievērojot iepriekš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vienkāršotu Latvijas Kopējās lauksaimniecības politikas stratēģiskā plāna 2023. -2027. gadam (turpmāk – KLP SP 2023.-2027.gadam) darbības programmas faktisko izmaksu uzskaiti un kontroli, tādejādi veicinot fokusēšanās maiņu no finanšu dokumentu pārbaudes uz sasniegto rezultātu pārbaudi, Zemkopības ministrijas ir apstiprinātajusi un tīmeklī publicējusi metodiku "Vienas vienības izmaksas – stundas likmes atalgojums sadarbības partneriem", piemērojot attiecīgajai amata grupai noteikto vienības izmaksu likmi. Tāpat vēršam uzmanību, ka noteikumu projekta 28. punktā minētā metodika neattiecas uz trešajām personām. Minētās vadlīnijas Lauku atbalsta dienests izmanto peronāla izmaksu uzskaitei, ņemot vērā Eiropas Parlamenta un Padomes regulas (ES) 2021/2115 44. panta. pantā noteikto, ka dalībvalstis ir tiesīgas noteikt atbalsta veidus. Līdzīga pieeja pastāv arī citos spēkā esošajos normatīvos aktos, piemēram, Ministru kabineta 2023. gada 24. oktobra noteikumu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 (turpmāk - MK noteikumi Nr. 613) 56. punktā ir noteikts, ka projektā nodarbinātā personāla atalgojuma likmes nosaka, pamatojoties uz Zemkopības ministrijas apstiprināto metodiku "Vienas vienības izmaksas – stundas likmes atalgojums sadarbības partneriem" un tās piemērošanas kārtību Kopējās lauksaimniecības politikas stratēģiskā plānā 2023.–2027. gadam intervencei "Atbalsts Eiropas Inovāciju partnerības darba grupu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65.</w:t>
            </w:r>
            <w:r w:rsidR="00000000" w:rsidRPr="00000000" w:rsidDel="00000000">
              <w:rPr>
                <w:rtl w:val="0"/>
              </w:rPr>
              <w:t xml:space="preserve"> punktā minētās personāla izmaksas sedz, nepārsniedzot Zemkopības ministrijas apstiprinātajā metodikā "Vienas vienības izmaksas – stundas likmes atalgojums sadarbības partneriem" noteikto vienības izmaksu likmi attiecīgajai amata grupai. Ja amata grupa nav iekļauta šajā metodikā, izmaksas sedz atbilstoši to faktiskajam apmēram, pamatojoties uz izdevumus apliecinošiem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Ja, izvērtējot atzītas augļu un dārzeņu ražotāju organizācijas iesniegtos dokumentus, dienests konstatē, ka tajos nav norādīta visa nepieciešamā informācija vai arī tā nav skaidra vai norādīta nepilnīgi, dienests to var rakstiski pieprasīt atzītai augļu un dārzeņu ražotāju organizācijai. Atzīta augļu un dārzeņu ražotāju organizācija septiņu dienu laikā no pieprasījuma dienas iesniedz dienestā pieprasīto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59. punktu (Noteikumu 177. punkts), ņemot vērā, ka no tā skaidrojumiem saprotams, ka informācijas pieprasījums </w:t>
            </w:r>
            <w:r w:rsidR="00000000" w:rsidRPr="00000000" w:rsidDel="00000000">
              <w:rPr>
                <w:u w:val="single"/>
                <w:rtl w:val="0"/>
              </w:rPr>
              <w:t xml:space="preserve">var notikt arī mutiski</w:t>
            </w:r>
            <w:r w:rsidR="00000000" w:rsidRPr="00000000" w:rsidDel="00000000">
              <w:rPr>
                <w:rtl w:val="0"/>
              </w:rPr>
              <w:t xml:space="preserve">, lai arī, atbilstoši projekta redakcijai noteikts, ka "[..]</w:t>
            </w:r>
            <w:r w:rsidR="00000000" w:rsidRPr="00000000" w:rsidDel="00000000">
              <w:rPr>
                <w:i w:val="1"/>
                <w:rtl w:val="0"/>
              </w:rPr>
              <w:t xml:space="preserve"> dienests to </w:t>
            </w:r>
            <w:r w:rsidR="00000000" w:rsidRPr="00000000" w:rsidDel="00000000">
              <w:rPr>
                <w:i w:val="1"/>
                <w:u w:val="single"/>
                <w:rtl w:val="0"/>
              </w:rPr>
              <w:t xml:space="preserve">var rakstiski pieprasīt </w:t>
            </w:r>
            <w:r w:rsidR="00000000" w:rsidRPr="00000000" w:rsidDel="00000000">
              <w:rPr>
                <w:i w:val="1"/>
                <w:rtl w:val="0"/>
              </w:rPr>
              <w:t xml:space="preserve">atzītai augļu un dārzeņu ražotāju organizācijai</w:t>
            </w:r>
            <w:r w:rsidR="00000000" w:rsidRPr="00000000" w:rsidDel="00000000">
              <w:rPr>
                <w:rtl w:val="0"/>
              </w:rPr>
              <w:t xml:space="preserve">". Tāpat, iesakām skaidrojumos norādīt arī to, kā saprotama "pieprasījuma diena" - proti, sagatavošanas diena, saņemšanas diena vai kāds cits atskaites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sniedzot papildus skaidrojumus.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Ja, izvērtējot atzītas augļu un dārzeņu ražotāju organizācijas iesniegtos dokumentus, dienests konstatē, ka tajos nav norādīta visa nepieciešamā informācija vai arī tā nav skaidra vai norādīta nepilnīgi, dienests to rakstveidā var pieprasīt no atzītas augļu un dārzeņu ražotāju organizācijas. Atzīta augļu un dārzeņu ražotāju organizācija septiņu dienu laikā pēc pieprasījuma saņemšanas iesniedz dienestā prasīto informāciju.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28.07.2025. 14:15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pārskatīt un precizēt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pilnībā skaidrots, kā ir izmantotas visas Eiropas Savienības tiesību aktos paredzētās rīcības brīvība, piemēram, arī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 11. panta 6. un 8. punkts paredz rīcības brīvību, arī 23. panta 3. punktā paredzēts, ka "</w:t>
            </w:r>
            <w:r w:rsidR="00000000" w:rsidRPr="00000000" w:rsidDel="00000000">
              <w:rPr>
                <w:i w:val="1"/>
                <w:rtl w:val="0"/>
              </w:rPr>
              <w:t xml:space="preserve">Dalībvalstis [..], var paredzēt vienotu standartlikmi personāla un administratīvajām izmaksām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 redakcijai un tajā ietvertajām atsaucēm uz Eiropas Savienības tiesību aktiem, gan projektā, gan tā pielikumos tiek ieviestas arī citas, anotācijas 5.sadaļā neskaidrotas tiesību normas un tiesību akti, piemēram, Regulas 2022/126 11. panta 9. punkts 1. un 2. daļa (Ministru kabineta 2023. gada 25. aprīļa noteikumu Nr. 203 "Ražotāju organizāciju atzīšanas un atbalsta piešķiršanas kārtība" (turpmāk - Noteikumi) 85. punkts), Regulas 2022/126 12. panta 1. punkta 2. daļa (Noteikumu 38.</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skaidrojumiem anotācijas 1.3. apakšsadaļā, projekta 26. punkts ievieš visu Regulas 2022/126 23. pantu, ne tikai tā 3. punktu, kā norādīts 5.4. apakšsadaļas 1. tabulā, arī projekta 43. punkts atbilstoši skaidrojumiem nodrošina atbilstību Eiropas Savienības tiesību normai, bet anotācijas 5.4. apakšsadaļā netiek skaidrots. Lūdzam salāgot skaidrojumus anotācijas 1.3. apakšsadaļā un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Iebildumos norādītie aspekti ir izvērtēti un ņemti vērā, precizējot projekta anotācijas 5. sadaļu. Papildināti skaidrojumi par dalībvalsts rīcības brīvības izmantošanu, tostarp atsaucoties uz regulas (ES) 2022/126 11. panta 6. un 8. punktu, kā arī svītrota nevajadzīga atsauce uz 23. panta 3. punktu. Vienlaikus anotācijā papildus ietverts skaidrojums par regulas (ES) 2022/126 11. panta 9. punkta, 12. panta 1. punkta otrās daļas un svītrota nevajadzīga atsauce uz 23. panta normu, tādējādi novēršot iepriekš pastāvējušās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veikta skaidrojumu salāgošana starp anotācijas 1.3. apakšsadaļu un 5. sadaļu, nodrošinot vienotu un konsekventu Eiropas Savienības tiesību aktu ieviešanas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piešķiršanu ierobežojošie nosacījumi un piemērojamās finanšu korekcijas tiek vērtētas saskaņā ar normatīvajiem aktiem par valsts un Eiropas Savienības atbalsta piešķiršanas, administrēšanas un uzraudzības vispārējo kārtību lauku un zivsaimniecības attīstībai, ciktāl tie nav pretrunā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paredzēto grozījumu Ministru kabineta 2023. gada 25. aprīļa noteikumu Nr.203 “Ražotāju organizāciju atzīšanas un atbalsta piešķiršanas kārtība” (turpmāk – Noteikumi) 4. punktā nepieciešams izvērtēt un precizēt vai svītrot (grozījumu neveidot), jo šāda norma ir pretrunā ar Oficiālo publikāciju un tiesiskās informācijas likuma 9. panta pirmajā daļā, kā arī Administratīvā procesa likuma 15. panta otrajā daļā noteikto par ārējo normatīvo aktu juridiskā spēka hierarhiju. Tādējādi Ministru kabineta noteikumos nav pieļaujams rakstīt vispārīgu atsauci uz normatīvajiem aktiem ar piebildi – “ciktāl tie nav pretrunā ar šiem noteikumiem”, jo tiesību normu piemērošanā jebkura likuma norma būs ar augstāku spēku par Ministru kabineta noteikumu normām. Atbilstoši nepieciešams precizēt projekta anotāciju. Papildus par anotācijā sniegto problēmas aprakstu norādām, ka administratīvajā procesā atšķirīgu pieeju vienāda rakstura pārkāpumu gadījumos, nevienlīdzīgu attieksmi pret atbalsta pretendentiem var novērst, kā arī veicināt administrējošo iestāžu darba uzlabošanu un vienotu kritēriju pārkāpumu gadījumā ievērošanu var ieviest ar administrējošai iestādei saistošiem iekšējiem normatīvajiem aktiem, piemēram, ieteikumiem vai iekšējiem noteikumiem. Nozarei kopumā (vairākām administrējošām iestādām vienlaicīgi) šādus iekšējos normatīvos aktus var izdot nozares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(noteikumu 4. punkts) ir precizēts, skaidri norādot nosacījumus, kas ierobežo atbalsta piešķiršanu. Attiecīgi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piešķiršanu ierobežojošie nosacījumi ir šādi: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 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 punktā noteiktos pierādījumus par gaidāmo pozitīvo devumu viena vai vairāku šo noteikumu </w:t>
            </w:r>
            <w:r w:rsidR="00000000" w:rsidRPr="00000000" w:rsidDel="00000000">
              <w:rPr>
                <w:rtl w:val="0"/>
              </w:rPr>
              <w:t xml:space="preserve">64.</w:t>
            </w:r>
            <w:r w:rsidR="00000000" w:rsidRPr="00000000" w:rsidDel="00000000">
              <w:rPr>
                <w:rtl w:val="0"/>
              </w:rPr>
              <w:t xml:space="preserve"> punktā minēto agrovides un klimata mērķu sasniegšanā atbilstoši regulas </w:t>
            </w:r>
            <w:r w:rsidR="00000000" w:rsidRPr="00000000" w:rsidDel="00000000">
              <w:rPr>
                <w:rtl w:val="0"/>
              </w:rPr>
              <w:t xml:space="preserve">2022/126</w:t>
            </w:r>
            <w:r w:rsidR="00000000" w:rsidRPr="00000000" w:rsidDel="00000000">
              <w:rPr>
                <w:rtl w:val="0"/>
              </w:rPr>
              <w:t xml:space="preserve"> 12. panta 1. punkta otrajai daļai, ja ražotāju organizācija plāno kādu no šo noteikumu </w:t>
            </w:r>
            <w:r w:rsidR="00000000" w:rsidRPr="00000000" w:rsidDel="00000000">
              <w:rPr>
                <w:rtl w:val="0"/>
              </w:rPr>
              <w:t xml:space="preserve">61.1.11.</w:t>
            </w:r>
            <w:r w:rsidR="00000000" w:rsidRPr="00000000" w:rsidDel="00000000">
              <w:rPr>
                <w:rtl w:val="0"/>
              </w:rPr>
              <w:t xml:space="preserve"> ​​​​​​​ apakšpunktā minētajām investīcijām.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8. punktu (Noteikumu 38.</w:t>
            </w:r>
            <w:r w:rsidR="00000000" w:rsidRPr="00000000" w:rsidDel="00000000">
              <w:rPr>
                <w:vertAlign w:val="superscript"/>
                <w:rtl w:val="0"/>
              </w:rPr>
              <w:t xml:space="preserve">1</w:t>
            </w:r>
            <w:r w:rsidR="00000000" w:rsidRPr="00000000" w:rsidDel="00000000">
              <w:rPr>
                <w:rtl w:val="0"/>
              </w:rPr>
              <w:t xml:space="preserve">2.apakšpunkts), kontekstā ar Noteikumos jau esošo 82. un 83. punktu un, nepieciešamības gadījumā precizēt projektu, nodrošinot, ka netiek dublēts jau esošais regulējums. Vēršam uzmanību, ka jau no Noteikumu 82. punkta izriet pierādījumu par darbības programmas izpildes gaidāmo pozitīvo devumu iesniegšanas pienākums atbilstoši regulas 2022/126 12. panta 1. punkta otrajai daļai, īstenojot šo noteikumu 61.1.11. apakšpunktā minētās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38.</w:t>
            </w:r>
            <w:r w:rsidR="00000000" w:rsidRPr="00000000" w:rsidDel="00000000">
              <w:rPr>
                <w:vertAlign w:val="superscript"/>
                <w:rtl w:val="0"/>
              </w:rPr>
              <w:t xml:space="preserve">1</w:t>
            </w:r>
            <w:r w:rsidR="00000000" w:rsidRPr="00000000" w:rsidDel="00000000">
              <w:rPr>
                <w:rtl w:val="0"/>
              </w:rPr>
              <w:t xml:space="preserve">2. punkts un noteikumu 82. un 83. punkts regulē atšķirīgus jautājumus un viens otru nedublē.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 punkts ietverts sadaļā "Ražotāju organizācijas darbības nosacījumi un kontrole" un paredz, ka, iesniedzot darbības programmu vai tās grozījumus, ražotāju organizācijai saskaņā ar regulas (ES) 2021/2115 50. panta 4. punktu jāpievieno pierādījumi par gaidāmo pozitīvo devumu viena vai vairāku noteikumu 64. punktā minēto agrovides un klimata mērķu sasniegšanā, ja tiek plānotas 61.1.11. apakšpunktā minētās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82. un 83. punkts ietverts sadaļā "Atbalsta piešķiršanas, administrēšanas un uzraudzības kārtība", kas nosaka kārtību, īstenojot investīcijas vides aizsardzības pasākumiem un videi labvēlīgām ražošanas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38.</w:t>
            </w:r>
            <w:r w:rsidR="00000000" w:rsidRPr="00000000" w:rsidDel="00000000">
              <w:rPr>
                <w:vertAlign w:val="superscript"/>
                <w:rtl w:val="0"/>
              </w:rPr>
              <w:t xml:space="preserve">1</w:t>
            </w:r>
            <w:r w:rsidR="00000000" w:rsidRPr="00000000" w:rsidDel="00000000">
              <w:rPr>
                <w:rtl w:val="0"/>
              </w:rPr>
              <w:t xml:space="preserve">2. punkts precizē prasību, kāda jāievēro iesniedzot darbības programmu vai tās grozījumus, savukārt 82. un 83. punkts nosaka konkrētu kārtību, īstenojot investīcijas aizsardzības pasākumiem un videi labvēlīgām ražošanas metodēm. Tādējādi regulējums nav dublējošs, bet gan savstarpēji papildinošs, nodrošinot pilnu prasību izpildes un kontroles ciklu.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 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 punktā noteiktos pierādījumus par gaidāmo pozitīvo devumu viena vai vairāku šo noteikumu </w:t>
            </w:r>
            <w:r w:rsidR="00000000" w:rsidRPr="00000000" w:rsidDel="00000000">
              <w:rPr>
                <w:rtl w:val="0"/>
              </w:rPr>
              <w:t xml:space="preserve">64.</w:t>
            </w:r>
            <w:r w:rsidR="00000000" w:rsidRPr="00000000" w:rsidDel="00000000">
              <w:rPr>
                <w:rtl w:val="0"/>
              </w:rPr>
              <w:t xml:space="preserve"> punktā minēto agrovides un klimata mērķu sasniegšanā atbilstoši regulas </w:t>
            </w:r>
            <w:r w:rsidR="00000000" w:rsidRPr="00000000" w:rsidDel="00000000">
              <w:rPr>
                <w:rtl w:val="0"/>
              </w:rPr>
              <w:t xml:space="preserve">2022/126</w:t>
            </w:r>
            <w:r w:rsidR="00000000" w:rsidRPr="00000000" w:rsidDel="00000000">
              <w:rPr>
                <w:rtl w:val="0"/>
              </w:rPr>
              <w:t xml:space="preserve"> 12. panta 1. punkta otrajai daļai, ja ražotāju organizācija plāno kādu no šo noteikumu </w:t>
            </w:r>
            <w:r w:rsidR="00000000" w:rsidRPr="00000000" w:rsidDel="00000000">
              <w:rPr>
                <w:rtl w:val="0"/>
              </w:rPr>
              <w:t xml:space="preserve">61.1.11.</w:t>
            </w:r>
            <w:r w:rsidR="00000000" w:rsidRPr="00000000" w:rsidDel="00000000">
              <w:rPr>
                <w:rtl w:val="0"/>
              </w:rPr>
              <w:t xml:space="preserve">  apakšpunktā minētajām investīcijām.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Šo noteikumu 65. un 67. punktā minētās personāla izmaksas sedz saskaņā ar Zemkopības ministrijas apstiprināto metodiku "Vienas vienības izmaksas – stundas likmes atalgojums sadarbības partneriem", piemērojot attiecīgajai amata grupai noteikto vienības izmaksu likmi. Ja amata grupa nav minētajā metodikā iekļauta, izmaksas tiek segtas atbilstoši to faktiskajam apmēram, pamatojoties uz izdevumus apliecinošiem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26. punktu (Noteikumu 67.</w:t>
            </w:r>
            <w:r w:rsidR="00000000" w:rsidRPr="00000000" w:rsidDel="00000000">
              <w:rPr>
                <w:vertAlign w:val="superscript"/>
                <w:rtl w:val="0"/>
              </w:rPr>
              <w:t xml:space="preserve">1</w:t>
            </w:r>
            <w:r w:rsidR="00000000" w:rsidRPr="00000000" w:rsidDel="00000000">
              <w:rPr>
                <w:rtl w:val="0"/>
              </w:rPr>
              <w:t xml:space="preserve"> punkts), ņemot vērā, ka jau 67. punktā tiek noteikts, ka personāla izmaksas sedz faktiskajā apmērā, bet 65. punktā - saskaņā ar regulas 2022/126 23. panta 1. punktu. Vēršam uzmanību, ka ar projekta 26. punktu tiek paredzēts, ka tās pašas, 65. un 67. punktā jau noteiktās, personāla izmaksas sedz arī atbilstoši Zemkopības ministrijas metodikai vai to faktiskajā apmērā. Proti, vienlaikus tiek paredzētas divas dažādas pieejas personāla izmaksu segšanai, kas rada pretrunīgu tiesisko regulējumu. Attiecīgi, lūdzam precizēt projektu vai sniegt atbilstošu skaidrojumu par minēto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svītrojot atsauci uz 67. punktu, lai novērstu normatīvā regulējuma dublēšanos un nodrošinātu tiesību normas skaidrību un sistemātiskumu. Savukārt 67.¹ punkts papildina 65. punktā noteikto personāla izmaksu segšanas kārtību, to sasaistot ar Eiropas Parlamenta un Padomes Regulas (ES) 2021/2115 44. panta pirmajā punktā minētajiem atbalsta veidiem. Šāda redakcija nodrošina atbilstību Eiropas Savienības tiesiskajam regulējumam, samazina administratīvo slogu un veicina efektīvāku un ātrāku finanšu līdzekļu apriti ražotājiem. Norma nodrošina skaidru, pārskatāmu un elastīgu pieeju izmaksu uzskaitē. Attiecīgi 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65.</w:t>
            </w:r>
            <w:r w:rsidR="00000000" w:rsidRPr="00000000" w:rsidDel="00000000">
              <w:rPr>
                <w:rtl w:val="0"/>
              </w:rPr>
              <w:t xml:space="preserve"> punktā minētās personāla izmaksas sedz, nepārsniedzot Zemkopības ministrijas apstiprinātajā metodikā "Vienas vienības izmaksas – stundas likmes atalgojums sadarbības partneriem" noteikto vienības izmaksu likmi attiecīgajai amata grupai. Ja amata grupa nav iekļauta šajā metodikā, izmaksas sedz atbilstoši to faktiskajam apmēram, pamatojoties uz izdevumus apliecinošiem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61.1.2.</w:t>
            </w:r>
            <w:r w:rsidR="00000000" w:rsidRPr="00000000" w:rsidDel="00000000">
              <w:rPr>
                <w:rtl w:val="0"/>
              </w:rPr>
              <w:t xml:space="preserve">, </w:t>
            </w:r>
            <w:r w:rsidR="00000000" w:rsidRPr="00000000" w:rsidDel="00000000">
              <w:rPr>
                <w:rtl w:val="0"/>
              </w:rPr>
              <w:t xml:space="preserve">61.1.4.</w:t>
            </w:r>
            <w:r w:rsidR="00000000" w:rsidRPr="00000000" w:rsidDel="00000000">
              <w:rPr>
                <w:rtl w:val="0"/>
              </w:rPr>
              <w:t xml:space="preserve"> un </w:t>
            </w:r>
            <w:r w:rsidR="00000000" w:rsidRPr="00000000" w:rsidDel="00000000">
              <w:rPr>
                <w:rtl w:val="0"/>
              </w:rPr>
              <w:t xml:space="preserve">61.1.13.</w:t>
            </w:r>
            <w:r w:rsidR="00000000" w:rsidRPr="00000000" w:rsidDel="00000000">
              <w:rPr>
                <w:rtl w:val="0"/>
              </w:rPr>
              <w:t xml:space="preserve"> apakšpunktā minētās būvniecības izmaksas nepārsniedz izmaksas, kas noteiktas Zemkopības ministrijas apstiprinātajās vadlīnijās par maksimāli attiecināmo izmaksu publisko finansējuma aprēķināšanu jaunas būvniecības un pārbūves projektiem. Atbilstošo intervenci īsteno, pamatojoties uz līgumu ar trešajām personām, kas ir atbildīgas par darbu izpildi, un tā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Zemkopības ministrijas izstrādātās vadlīnijas, metodikas, Lauku atbalsta dienesta izstrādāti katalogi u.tml., ir iekšēji normatīvie akti, kas ir saistoši iestādei (tās struktūrvienībai, darbiniekiem) vai amatpersonām, attiecībā uz kurām tas izdots (sk. Valsts pārvaldes iekārtas likuma 72. panta ceturto daļu). Attiecīgi vadlīnijas u.tml. dokumenti nav saistoši privātpersonām - atbalsta pretendentiem un saņēmējiem, un tās par saistošām nevar padarīt arī ar atsauci projektā. Nepieciešamības gadījumā vadlīniju saturs jāpārņem projektā vai jāietver ar minētajām privātpersonām saskaņā ar Noteikumiem noslēgtā līgumā (ja attiecināms). Ievērojot minēto, lūdzam attiecīgi izvērtēt un precizēt projektu, svītrojot atsauces uz minētajiem dokumentiem.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 54. un 55. punkts, precizējot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Lauksaimniecības garantiju fonda publiskā finansējuma samērīgu un lietderīgu izmantošanu, Zemkopības ministrija ņemot vērā tirgū aktuālas būvniecības cenas, nosaka un publicē maksimālās attiecināmās izmaksas konkrētiem būvniecības darbiem un būvju veidiem, kas tiek regulāri atjaunotas. Tās tika izstrādātas, ņemot vērā KLP stratēģisko plānu un regulas Nr.2021/2115 44. panta 1. un 2. punktā noteikto. Līdzīga pieeja pastāv arī citos spēkā esošajos normatīvos aktos, piemēram, Ministru kabineta 2024. gada 21. maija noteikumu Nr. 303 " Valsts un Eiropas Savienības atbalsta piešķiršanas kārtība atklātu projektu konkursa veidā Eiropas lauksaimniecības fonda lauku attīstībai investīcijām materiālajos aktīvos 2023.–2027. gada plānošanas periodā"  139. punktā ir noteikts, ka šo noteikumu 1. punktā minētajās intervencēs jaunas būvniecības un pārbūves izmaksas (tostarp būvmateriālu iegādes izmaksas) nepārsniedz Zemkopības ministrijas noteikto un publiskoto maksimālo attiecināmo izmaksu apmēru publiskā finansējuma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noteikumu projekta 39. (noteikumu 85. punkts)  un 52. (noteikumu 106. punkts) punktā minētās vadlīnijas – Zemkopības ministrijas apstiprinātās Vadlīnijas finanšu korekcijas piemērošanai lauku attīstības projekta veida intervencēs un zivsaimniecības projektos – neattiecas uz trešajām personām. Minētās vadlīnijas Lauku atbalsta dienests izmanto finanšu korekciju piemērošanai, ņemot vērā Eiropas Parlamenta un Padomes regulas (ES) 2021/2116 56. pantā noteikto, ka dalībvalstis ir tiesīgas atgūt summas no saņēmējiem, ja tiek konstatētas neatbilstības saistībā ar intervencēm vai investīcijām. Līdzīga pieeja pastāv arī citos spēkā esošajos normatīvos aktos, piemēram, Ministru kabineta 2023. gada 7. marta noteikumu Nr. 113 "Valsts un Eiropas Savienības atbalsta piešķiršanas, administrēšanas un uzraudzības vispārējā kārtība lauku un zivsaimniecības attīstībai" (turpmāk - MK noteikumi Nr. 113) 11. punktā ir noteikts, ka Lauku atbalsta dienests, izvērtējot atbalsta pretendenta lauksaimniecības izglītības atbilstību normatīvajiem aktiem par lauksaimniecības attīstības pasākumu īstenošanu, ņem vērā Zemkopības ministrijas izstrādātās un publicētās Vadlīnijas lauksaimniecības izglītības atbilstības izvērtēšanai. Tāpat MK noteikumu Nr.113 68. punktā ir noteikts, ka, ja atbalsta pretendents vai atbalsta saņēmējs projekta pieteikuma vērtēšanas, īstenošanas vai uzraudzības laikā neievēro normatīvajos aktos par valsts un Eiropas Savienības atbalsta piešķiršanu lauku un zivsaimniecības attīstībai konkrētajam pasākumam noteiktās prasības, tostarp, parakstot atbalsta pretendenta deklarāciju un maksājuma pieprasījuma apliecinājumu, kas neatbilst faktiskajiem vai tiesiskajiem apstākļiem, neievēro šādā veidā pausto apņemšanos vai šajos dokumentos ietvertās normas, Lauku atbalsta dienests samazina atbalsta summu vai neatbilstību un pārkāpumu gadījumā pieņem lēmumu par atbalsta atmaksu saskaņā ar Zemkopības ministrijas apstiprinātajām vadlīnijām par finanšu korekcijas piemērošanu projektos vai lēmumu par saistību pārtraukšanu.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61.1.2.</w:t>
            </w:r>
            <w:r w:rsidR="00000000" w:rsidRPr="00000000" w:rsidDel="00000000">
              <w:rPr>
                <w:rtl w:val="0"/>
              </w:rPr>
              <w:t xml:space="preserve">, </w:t>
            </w:r>
            <w:r w:rsidR="00000000" w:rsidRPr="00000000" w:rsidDel="00000000">
              <w:rPr>
                <w:rtl w:val="0"/>
              </w:rPr>
              <w:t xml:space="preserve">61.1.4.</w:t>
            </w:r>
            <w:r w:rsidR="00000000" w:rsidRPr="00000000" w:rsidDel="00000000">
              <w:rPr>
                <w:rtl w:val="0"/>
              </w:rPr>
              <w:t xml:space="preserve"> un </w:t>
            </w:r>
            <w:r w:rsidR="00000000" w:rsidRPr="00000000" w:rsidDel="00000000">
              <w:rPr>
                <w:rtl w:val="0"/>
              </w:rPr>
              <w:t xml:space="preserve">61.1.13.</w:t>
            </w:r>
            <w:r w:rsidR="00000000" w:rsidRPr="00000000" w:rsidDel="00000000">
              <w:rPr>
                <w:rtl w:val="0"/>
              </w:rPr>
              <w:t xml:space="preserve"> apakšpunktā minētās būvniecības izmaksas nepārsniedz Zemkopības ministrijas noteikto un publiskoto maksimālo attiecināmo izmaksu apmēru publiskā finansējuma piešķiršanai. Atbilstošo intervenci īsteno, pamatojoties uz līgumu ar trešajām personām, kas ir atbildīgas par darbu izpildi, un tā atbilst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 Ražotāju organizācija par iepriekšējā gadā īstenoto darbības programmu ir tiesīga veikt maksājumus pēc kārtējā gada 15. februāra, bet ne vēlāk kā līdz kārtējā gada 30. aprīlim, ja tā var pamatot, ka kavējums radies no ražotāju organizācijas neatkarīgu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45. punktu (Noteikumu 98.</w:t>
            </w:r>
            <w:r w:rsidR="00000000" w:rsidRPr="00000000" w:rsidDel="00000000">
              <w:rPr>
                <w:vertAlign w:val="superscript"/>
                <w:rtl w:val="0"/>
              </w:rPr>
              <w:t xml:space="preserve">2</w:t>
            </w:r>
            <w:r w:rsidR="00000000" w:rsidRPr="00000000" w:rsidDel="00000000">
              <w:rPr>
                <w:rtl w:val="0"/>
              </w:rPr>
              <w:t xml:space="preserve"> punkts) kontekstā ar Noteikumu 98. punktā noteikto un nepieciešamības gadījumā veikt precizējumus vai alternatīvi lūdzam sniegt skaidrojumu anotācijā. Vēršam uzmanību, ka atbilstoši projekta 45. punktam ražotāju organizācija ir tiesīga maksājumus par iepriekšējā gadā īstenoto darbības programmu veikt arī pēc kārtējā gada 15. februāra. Taču, no Noteikumu 98. punkta izriet, ka, lai ražotāju organizācija saņemtu gala atbalsta maksājumu, tai dokumenti (tajā skaitā maksājumu apliecinošie dokumenti) Lauku atbalsta dienestā jāiesniedz līdz kārtējā gada 15. februārim. Attiecīgi pirmšķietami ražotāju organizācijai, kurai radies projekta 45. punktā minētais nokavējums, nav iespējams ievērot Noteikumu 98. punktā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noteikumu 98.</w:t>
            </w:r>
            <w:r w:rsidR="00000000" w:rsidRPr="00000000" w:rsidDel="00000000">
              <w:rPr>
                <w:vertAlign w:val="superscript"/>
                <w:rtl w:val="0"/>
              </w:rPr>
              <w:t xml:space="preserve">2</w:t>
            </w:r>
            <w:r w:rsidR="00000000" w:rsidRPr="00000000" w:rsidDel="00000000">
              <w:rPr>
                <w:rtl w:val="0"/>
              </w:rPr>
              <w:t xml:space="preserve"> punkts. attiecīgi papildināta anotācijas 1.3. sadaļa. Ražotāju organizācija (RO), īstenojot savas apstiprinātās darbības programmas (DP), var saņemt ES atbalstu par iepriekšējā gadā īstenoto DP, iesniedzot Lauku atbalsta dienestā nepieciešamo dokumentāciju līdz kārtējā gada 15. februārim saskaņā ar Noteikumu 98. punktu. Noteikuma 98.</w:t>
            </w:r>
            <w:r w:rsidR="00000000" w:rsidRPr="00000000" w:rsidDel="00000000">
              <w:rPr>
                <w:vertAlign w:val="superscript"/>
                <w:rtl w:val="0"/>
              </w:rPr>
              <w:t xml:space="preserve">2</w:t>
            </w:r>
            <w:r w:rsidR="00000000" w:rsidRPr="00000000" w:rsidDel="00000000">
              <w:rPr>
                <w:rtl w:val="0"/>
              </w:rPr>
              <w:t xml:space="preserve"> punkts papildina šo regulējumu, ļaujot maksājumus veikt arī līdz 30. aprīlim gadījumos, kad kavējums radies no RO neatkarīgu iemeslu dēļ, iesniedzot papildus paskaidrojumu un apliecinot, ka pasākumi ir īstenoti saskaņā ar apstiprināto DP. Tādējādi 98. un 98.</w:t>
            </w:r>
            <w:r w:rsidR="00000000" w:rsidRPr="00000000" w:rsidDel="00000000">
              <w:rPr>
                <w:vertAlign w:val="superscript"/>
                <w:rtl w:val="0"/>
              </w:rPr>
              <w:t xml:space="preserve">2</w:t>
            </w:r>
            <w:r w:rsidR="00000000" w:rsidRPr="00000000" w:rsidDel="00000000">
              <w:rPr>
                <w:rtl w:val="0"/>
              </w:rPr>
              <w:t xml:space="preserve"> punkts nav pretrunā, bet gan papildina viens otru – 98. punkts nosaka normālo dokumentu iesniegšanas termiņu un nosacījumus, savukārt 98.</w:t>
            </w:r>
            <w:r w:rsidR="00000000" w:rsidRPr="00000000" w:rsidDel="00000000">
              <w:rPr>
                <w:vertAlign w:val="superscript"/>
                <w:rtl w:val="0"/>
              </w:rPr>
              <w:t xml:space="preserve">2 </w:t>
            </w:r>
            <w:r w:rsidR="00000000" w:rsidRPr="00000000" w:rsidDel="00000000">
              <w:rPr>
                <w:rtl w:val="0"/>
              </w:rPr>
              <w:t xml:space="preserve">punkts paredz elastību objektīvu kavējumu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 Ražotāju organizācija par iepriekšējā gadā īstenoto darbības programmu ir tiesīga pārskaitīt maksājumus pēc kārtējā gada 15. februāra, bet ne vēlāk kā līdz kārtējā gada 30. aprīlim, ja tā pamato, ka kavējums radies no ražotāju organizācijas neatkarīgu iemeslu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Šo noteikumu 4. punktu piemēro par periodu, sākot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punktā paredzēto Noteikumu 182. punktu – pārejas regulējumu par Noteikumu 4. punkta piemērošanu ar 2026. gada 1. janvāri, ņemot vērā šajā atzinumā izteikto iebildumu par grozījumu Noteikumu 4. punktā, nepieciešams svītrot. Turklāt Noteikumu 4. punkts ir spēkā esoša un šobrīd piemērojama norma, tādējādi pārejas regulējumā nevar veidot formālu atsauci uz konkrētu punktu par tā piemērošanu nākotnē no noteikta datuma. Grozītām normām var veidot pārejas regulējumu, piemēram, par šādas normas atliktu piemērošanu, bet tādā gadījumā pārejas regulējums jāveido precīzi, identificējot visu piemērojamo jauno regulējumu, lai jauno regulējumu varētu nodalīt no vecā.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papildinot noteikuma 4. punktu un svītrojot pārejas noteikumus. Attiecīgi 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25. aprīļa noteikumos Nr. 203 "Ražotāju organizāciju atzīšanas un atbalsta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piedāvājot jaunu redakciju noteikumu 4.punktam, vairs netiek lietota atsauce uz noteikumu 1.pielikumu. Rezultātā noteikumu tekstā vispār vairs nav atsauces uz 1.pielikumu, kurā uzskaitītas tiesību normas, kas attiecināmas uz ražotāju organizācijas izslēgšanu no atbalsta saņēmēju loka. Lūdzam sasaistīt noteikumu 1.pielikumu ar noteikumu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(noteikumu 4. punkts) ir precizēts, skaidri norādot nosacījumus, kas ierobežo atbalsta piešķiršanu, kā arī veikta noteikumu 4. punkta sasaiste ar 1. pielikumu.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pilnīgus projekta skaidrojumus.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 punktā (Noteikumu 4. punkts) ir noteikts nevis regulējums saskaņā ar kuru atbalsts netiek piešķirts vai tiek atcelts, bet gan tas, kur paredzēti atbalsta piešķiršanu ierobežojošie nosacījumi un saskaņā ar ko tiek vērtētas piemērojamās finanšu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skaidrojumam anotācijas 1.3. apakšsadaļā, atzīta ražotāju organizācija Lauku atbalsta dienestā iesniedz vienkārši detalizētu grozīto darbības programmas sarakstu nākamajam darbības programmas gadam, bet, atbilstoši projektam, detalizētu grozīto darbības programmu iesniedz tikai tad, ja saraksts sākotnēji nav bijis detalizēts;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61.3.apakšpunkts papildināts ar tehnisko palīdzību kā atbalstāmu darbību, nesniedzot izvērstāku "tehniskās palīdzības"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skaidrots visi projektā ietvertie grozījumi, piemēram, projekta 25. un 56. punkts (Noteikumu 62. un 182.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norādīts, ka "</w:t>
            </w:r>
            <w:r w:rsidR="00000000" w:rsidRPr="00000000" w:rsidDel="00000000">
              <w:rPr>
                <w:i w:val="1"/>
                <w:rtl w:val="0"/>
              </w:rPr>
              <w:t xml:space="preserve">Ja nepieciešamā investīcija nav minēta katalogā, ražotāju organizācijām ir iespēja iesniegt pamatotu pieprasījumu tās iekļaušanai</w:t>
            </w:r>
            <w:r w:rsidR="00000000" w:rsidRPr="00000000" w:rsidDel="00000000">
              <w:rPr>
                <w:rtl w:val="0"/>
              </w:rPr>
              <w:t xml:space="preserve">", izvērstāk neskaidrojot, kā tas īstenojams praktiski, saskaņā ar kādiem normatīvajiem aktiem u.tml., kas tiesību normu adresātam nodrošinātu pilnīgu izpratni par to, kā tas var īstenot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skaidrojumam ražotāju organizācijai darbības programmai jāpievieno "</w:t>
            </w:r>
            <w:r w:rsidR="00000000" w:rsidRPr="00000000" w:rsidDel="00000000">
              <w:rPr>
                <w:i w:val="1"/>
                <w:rtl w:val="0"/>
              </w:rPr>
              <w:t xml:space="preserve">informācija par darbības fondu atbilstoši 5.</w:t>
            </w:r>
            <w:r w:rsidR="00000000" w:rsidRPr="00000000" w:rsidDel="00000000">
              <w:rPr>
                <w:rtl w:val="0"/>
              </w:rPr>
              <w:t xml:space="preserve"> </w:t>
            </w:r>
            <w:r w:rsidR="00000000" w:rsidRPr="00000000" w:rsidDel="00000000">
              <w:rPr>
                <w:i w:val="1"/>
                <w:rtl w:val="0"/>
              </w:rPr>
              <w:t xml:space="preserve">pielikumam </w:t>
            </w:r>
            <w:r w:rsidR="00000000" w:rsidRPr="00000000" w:rsidDel="00000000">
              <w:rPr>
                <w:i w:val="1"/>
                <w:u w:val="single"/>
                <w:rtl w:val="0"/>
              </w:rPr>
              <w:t xml:space="preserve">un aprēķinātais darbības fonda apmērs pirmajā programmas īstenošanas gadā</w:t>
            </w:r>
            <w:r w:rsidR="00000000" w:rsidRPr="00000000" w:rsidDel="00000000">
              <w:rPr>
                <w:rtl w:val="0"/>
              </w:rPr>
              <w:t xml:space="preserve">.", bet no projekta redakcijas izriet, ka tiek iesniegta ražotāju organizācijas izstrādātā darbības programma (4. pielikums) un informācija par darbības fondu (5. pielikums) pirmajam programmas īstenošanas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ņemti vērā, un noteikumu anotācijas 1.3. sadaļa papildināta atbilstoši tiem, nodrošinot skaidrību, precizitāti un pilnīgumu, ļaujot tiesību normu adresātiem pilnībā izprast savas tiesības un pienākumus, kā arī ievērot gan ES, gan nacionālos tiesību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aprakstā tiek norādīts: "Lai nodrošinātu tiesisko noteiktību un vienlīdzīgu pieeju ELGF un ELFLA atbalsta pretendentiem un saņēmējiem, noteikumu 4. punktā ir noteikts regulējums, saskaņā ar kuru atbalsts netiek piešķirts vai tiek atcelts".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skaidrojuma nav iespējams secināt, kā tieši ar piedāvāto  noteikumu projekta 4. punkta redakciju, kas, salīdzinot ar šobrīd esošo redakciju, ir ļoti vispārīga, tiks nodrošināta tiesiskā noteiktība un vienlīdzīga pieeja atbalsta pretendentiem un saņēmējiem. Lūdzam šo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(noteikumu 4. punkts) ir precizēts, skaidri norādot nosacījumus, kuri ierobežo atbalsta piešķiršanu. Attiecīgi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piešķiršanu ierobežojošie nosacījumi un piemērojamās finanšu korekcijas tiek vērtētas saskaņā ar normatīvajiem aktiem par valsts un Eiropas Savienības atbalsta piešķiršanas, administrēšanas un uzraudzības vispārējo kārtību lauku un zivsaimniecības attīstībai, ciktāl tie nav pretrunā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4. punktu izteikt jaunā redakcijā. Ja šobrīd spēkā esošajā noteikumu 4.punktā ļoti detalizēti noteikti gadījumi, kuros ražotāju organizācijas iesniegto atzīšanas iesniegumu noraida un atbalstu neizmaksā, tad turpmāk tiek paredzēts ļoti vispārīgs nosacījums. Vai, paredzot šādu pieeju, ir vērtēts un secināts, ka tas nemazinās uzraudzības procesa iespējas un ka atbalsts varētu sasniegt kādu, kuram tas nepienākas. Lūdzam šo atspoguļot anotācijā. No Finanšu ministrijas puses raugoties, ļoti nozīmīgs kritērijs atbalsta piešķiršanas vērtēšanas procesā ir nodokļu saistību izpilde. Lūdzam atspoguļot anotācijā, kā tas saprotams no piedāvātās 4.punkta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(noteikumu 4. punkts) ir precizēts, skaidri norādot nosacījumus, kas ierobežo atbalsta piešķiršanu. Attiecīgi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piešķiršanu ierobežojošie nosacījumi ir šādi: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par darbības programmas grozījumu noraidīšanu, ja tie neatbilst šo noteikumu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Noteikumus, nodrošinot, ka tie ir pilnībā salāgoti ar plānotajiem grozījumiem. Vēršam uzmanību, ka, piemēram, Noteikumu 51.2.apakšpunktā saglabāta atsauce uz svītroto Noteikumu 46.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un projekta redakcijā veikti nepieciešamie precizējumi, lai noteikumi būtu pilnībā salāgoti ar plānotajiem grozījumiem. No Noteikumu 51.2. apakšpunkta svītrota atsauce uz Noteikumu 46. punktu, kas tika izslēgts ar grozījumiem. Līdz ar to novērsta neatbilstība un nodrošināta tiesību akta normas atbilstība spēkā esošajam regulējumam.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par darbības programmas grozījumu noraidīšanu, ja tie neatbilst šo noteikumu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punktā minētajām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Ar šo noteikumu </w:t>
            </w:r>
            <w:r w:rsidR="00000000" w:rsidRPr="00000000" w:rsidDel="00000000">
              <w:rPr>
                <w:rtl w:val="0"/>
              </w:rPr>
              <w:t xml:space="preserve">61.</w:t>
            </w:r>
            <w:r w:rsidR="00000000" w:rsidRPr="00000000" w:rsidDel="00000000">
              <w:rPr>
                <w:rtl w:val="0"/>
              </w:rPr>
              <w:t xml:space="preserve"> punktā minēto intervenču īstenošanu saistītie komandējuma izdevumi – dienas nauda, pārbraukšanas izdevumi, kā arī izdevumi par naktsmītni, apdrošināšanu, dalības maksu – tiek segti saskaņā ar normatīvajiem aktiem par komandējumu izdevumu atlīdzināšanas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ņemot vērā, ka komandējumu izdevumu atlīdzināšana izriet no Ministru kabineta 2010.gada 12.oktobra noteikumiem Nr. 969 "Kārtība, kādā atlīdzināmi ar komandējumiem saistītie izdevumi", nevis "Komandējumu izdevumu atlīdzināšanas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Ar šo noteikumu 61. punktā minēto intervenču īstenošanu saistītie komandējuma izdevumi – dienas nauda, pārbraukšanas izdevumi, kā arī izdevumi par naktsmītni, apdrošināšanu, dalības maksu – tiek segti saskaņā ar normatīvajiem aktiem par ar komandējumiem saistīto izdevumu atlīdzināšanu."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ir precizēts saskaņā ar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Ar šo noteikumu </w:t>
            </w:r>
            <w:r w:rsidR="00000000" w:rsidRPr="00000000" w:rsidDel="00000000">
              <w:rPr>
                <w:rtl w:val="0"/>
              </w:rPr>
              <w:t xml:space="preserve">61.</w:t>
            </w:r>
            <w:r w:rsidR="00000000" w:rsidRPr="00000000" w:rsidDel="00000000">
              <w:rPr>
                <w:rtl w:val="0"/>
              </w:rPr>
              <w:t xml:space="preserve"> punktā minēto intervenču īstenošanu saistītie komandējuma izdevumi – dienas nauda, pārbraukšanas izdevumi, kā arī izdevumi par naktsmītni, personas apdrošināšanu, dalības maksu – tiek segti saskaņā ar normatīvajiem aktiem par ar komandējumiem saistīto izdevumu atlīdzināšanu.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r w:rsidR="00000000" w:rsidRPr="00000000" w:rsidDel="00000000">
              <w:rPr>
                <w:vertAlign w:val="superscript"/>
                <w:rtl w:val="0"/>
              </w:rPr>
              <w:t xml:space="preserve">1</w:t>
            </w:r>
            <w:r w:rsidR="00000000" w:rsidRPr="00000000" w:rsidDel="00000000">
              <w:rPr>
                <w:rtl w:val="0"/>
              </w:rPr>
              <w:t xml:space="preserve"> Ar šo noteikumu </w:t>
            </w:r>
            <w:r w:rsidR="00000000" w:rsidRPr="00000000" w:rsidDel="00000000">
              <w:rPr>
                <w:rtl w:val="0"/>
              </w:rPr>
              <w:t xml:space="preserve">61.2.</w:t>
            </w:r>
            <w:r w:rsidR="00000000" w:rsidRPr="00000000" w:rsidDel="00000000">
              <w:rPr>
                <w:rtl w:val="0"/>
              </w:rPr>
              <w:t xml:space="preserve">  un </w:t>
            </w:r>
            <w:r w:rsidR="00000000" w:rsidRPr="00000000" w:rsidDel="00000000">
              <w:rPr>
                <w:rtl w:val="0"/>
              </w:rPr>
              <w:t xml:space="preserve">61.3.</w:t>
            </w:r>
            <w:r w:rsidR="00000000" w:rsidRPr="00000000" w:rsidDel="00000000">
              <w:rPr>
                <w:rtl w:val="0"/>
              </w:rPr>
              <w:t xml:space="preserve"> apakšpunktā minētajām intervencēm saistītās ēdināšanas izmaksas sedz septiņu </w:t>
            </w:r>
            <w:r w:rsidR="00000000" w:rsidRPr="00000000" w:rsidDel="00000000">
              <w:rPr>
                <w:i w:val="1"/>
                <w:rtl w:val="0"/>
              </w:rPr>
              <w:t xml:space="preserve">euro</w:t>
            </w:r>
            <w:r w:rsidR="00000000" w:rsidRPr="00000000" w:rsidDel="00000000">
              <w:rPr>
                <w:rtl w:val="0"/>
              </w:rPr>
              <w:t xml:space="preserve"> apmērā par katru pasākuma dienu vienam reģistrētajam attiecīgā pasākuma dalībniekam, kas pasākumu apmeklējis klātienē. Ja plānotie izdevumi pārsniedz noteikto limitu, tos elektroniski saskaņo ar dienestu pirms maksājuma. Ja pasākums ir ilgāks par sešām stundām, rīko ne vairāk kā divas ēdienreizes.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izvērstāk skaidrot projekta 39. punktu (Noteikumu 89.</w:t>
            </w:r>
            <w:r w:rsidR="00000000" w:rsidRPr="00000000" w:rsidDel="00000000">
              <w:rPr>
                <w:vertAlign w:val="superscript"/>
                <w:rtl w:val="0"/>
              </w:rPr>
              <w:t xml:space="preserve">1</w:t>
            </w:r>
            <w:r w:rsidR="00000000" w:rsidRPr="00000000" w:rsidDel="00000000">
              <w:rPr>
                <w:rtl w:val="0"/>
              </w:rPr>
              <w:t xml:space="preserve"> punkts), nodrošinot tiesību normu adresātam precīzu izpratni par to, kāpēc ēdināšanas izmaksas nosakāmas tieši 7 EUR apmērā un tikai Noteikumu 61.2. un 61.3. apakšpunktā minētajām intervencēm, kā arī to, vai 7 EUR limits attiecināms arī uz gadījumiem, kad pasākums ir ilgāks par 6 stundām un tiek organizētas divas ēdienreizes? Tāpat lūdzam skaidrot arī nosacījuma: "</w:t>
            </w:r>
            <w:r w:rsidR="00000000" w:rsidRPr="00000000" w:rsidDel="00000000">
              <w:rPr>
                <w:i w:val="1"/>
                <w:rtl w:val="0"/>
              </w:rPr>
              <w:t xml:space="preserve">Ja plānotie izdevumi pārsniedz noteikto limitu, tos elektroniski saskaņo ar dienestu pirms maksājuma</w:t>
            </w:r>
            <w:r w:rsidR="00000000" w:rsidRPr="00000000" w:rsidDel="00000000">
              <w:rPr>
                <w:rtl w:val="0"/>
              </w:rPr>
              <w:t xml:space="preserve">." īstenošanu praksē, to kādos gadījumos noteiktais izmaksu limits tomēr var tikt pārsniegts, vai un kā Lauku atbalsta dienests vērtē un saskaņo pārsniegumus, nodrošinot, ka Lauku atbalsta dienesta rīcība visos gadījumos ir konsekventa un vienlīdzīga pret visiem tiesību normu adresātiem. Pamatojoties uz veikto izvērtējumu, ja nepieciešams, lūdzam veikt arī nepieciešamos precizējumus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dzēsts noteikumu 89.</w:t>
            </w:r>
            <w:r w:rsidR="00000000" w:rsidRPr="00000000" w:rsidDel="00000000">
              <w:rPr>
                <w:vertAlign w:val="superscript"/>
                <w:rtl w:val="0"/>
              </w:rPr>
              <w:t xml:space="preserve">1 </w:t>
            </w:r>
            <w:r w:rsidR="00000000" w:rsidRPr="00000000" w:rsidDel="00000000">
              <w:rPr>
                <w:rtl w:val="0"/>
              </w:rPr>
              <w:t xml:space="preserve">punkts un noteikumi papildināti ar 62.</w:t>
            </w:r>
            <w:r w:rsidR="00000000" w:rsidRPr="00000000" w:rsidDel="00000000">
              <w:rPr>
                <w:vertAlign w:val="superscript"/>
                <w:rtl w:val="0"/>
              </w:rPr>
              <w:t xml:space="preserve">1</w:t>
            </w:r>
            <w:r w:rsidR="00000000" w:rsidRPr="00000000" w:rsidDel="00000000">
              <w:rPr>
                <w:rtl w:val="0"/>
              </w:rPr>
              <w:t xml:space="preserve"> punktu, tādējādi nosakot to, ka izmaksas par ēdināšanu nav atbalstāmas.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ražotāju organizācija savā darbības programmā paredz pētniecisko darbu īstenošanai izmantot savus nodarbinātos, tā apliecina, ka personāls ir atbilstoši kvalificēts, un iesniedz valsts izglītības informācijas sistēmā reģistrētas izglītības iestādes izsniegtu izglītību apliecinoša dokumenta kopiju par katras personas iegūto augstāko vai profesionālo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 40. punktā (Noteikuma 90. punkts) un 44. punktā (Noteikuma 98.15. apakšpunkts) ietvertais formulējums "pētnieciskais darbs" nav pārāk plašs, īpaši ņemot vērā, ka spēkā esošajā redakcijā šī punkta izpratne ir konkretizētāka. Nepieciešamības gadījumā lūdzam anotācijā izvērst "pētnieciskā darba" izpratni šo Noteikumu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piedāvātais priekšlikums un attiecīgi papildināta 1.3 anotācijas sadaļa, izvēršot "pētnieciskā darba" izpratni noteikumu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ražotāju organizācija savā darbības programmā paredz pētniecisko darbu īstenošanai izmantot savus nodarbinātos, tā apliecina, ka personāls ir atbilstoši kvalificēts, un iesniedz valsts izglītības informācijas sistēmā reģistrētas izglītības iestādes izsniegtu izglītību apliecinoša dokumenta kopiju par katras personas iegūto augstāko vai profesionālo izglītību.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98.16. ja izveidots dziļurbums – atbilstoši normatīvajiem aktiem par zemes dzīļu izmantošanu informāciju par sagatavoto ūdens ieguves urbuma pasi, kas saskaņota ar valsts sabiedrību ar ierobežotu atbildību "Latvijas Vides, ģeoloģijas un meteoroloģijas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projekta 44. punktā (Noteikumu 98.16. apakšpunkts) ietverto atsauci uz normatīvo aktu jomu. Proti, no projekta precīzi neizriet, uz kādiem normatīvajiem aktiem atsauce "</w:t>
            </w:r>
            <w:r w:rsidR="00000000" w:rsidRPr="00000000" w:rsidDel="00000000">
              <w:rPr>
                <w:i w:val="1"/>
                <w:rtl w:val="0"/>
              </w:rPr>
              <w:t xml:space="preserve">normatīvajiem aktiem par zemes dzīļu izmantošanu</w:t>
            </w:r>
            <w:r w:rsidR="00000000" w:rsidRPr="00000000" w:rsidDel="00000000">
              <w:rPr>
                <w:rtl w:val="0"/>
              </w:rPr>
              <w:t xml:space="preserve">" ir attiecināma (likumu "Par zemes dzīlēm" v.tml.).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projekta 17. punktu ("izaugsmes vadības (padomdošanas)"), izvairoties no sinonīmu lietošanas. Norādām, ka atbilstoši juridiskās tehnikas prasībām normatīvajā aktā nelieto sinonīmus un vienu lietu konsekventi sauc vienā un tajā pašā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45. punkts (noteikumu 98.16. apakšpunkts), ietverot precizētu atsauci uz normatīvo aktu jomu, kā arī precizēts projekta 18. punkts ("izaugsmes vadības (padomdošanas)"), izvairoties no sinonīmu lietošanas.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98.16. ja izveidots dziļurbums – atbilstoši normatīvajiem aktiem par zemes dzīļu izmantošanas licenču un bieži sastopamo derīgo izrakteņu ieguves atļauju izsniegšanas kārtību, kā arī publiskas personas zemes iznomāšanas kārtību zemes dzīļu izmantošanai informāciju par sagatavoto ūdens ieguves urbuma pasi, kas saskaņota ar valsts sabiedrību ar ierobežotu atbildību "Latvijas Vides, ģeoloģijas un meteoroloģijas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 Ražotāju organizācija par iepriekšējā gadā īstenoto darbības programmu ir tiesīga veikt maksājumus pēc kārtējā gada 15. februāra, bet ne vēlāk kā līdz kārtējā gada 30. aprīlim, ja tā var pamatot, ka kavējums radies no ražotāju organizācijas neatkarīgu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skaidrot no projekta 45. punkta (Noteikumu 98.</w:t>
            </w:r>
            <w:r w:rsidR="00000000" w:rsidRPr="00000000" w:rsidDel="00000000">
              <w:rPr>
                <w:vertAlign w:val="superscript"/>
                <w:rtl w:val="0"/>
              </w:rPr>
              <w:t xml:space="preserve">2 </w:t>
            </w:r>
            <w:r w:rsidR="00000000" w:rsidRPr="00000000" w:rsidDel="00000000">
              <w:rPr>
                <w:rtl w:val="0"/>
              </w:rPr>
              <w:t xml:space="preserve">punkts) izrietošos praktiskos aspektus, lai tiesību normu adresātam būtu pilnīgi un nepārprotami skaidrs, kā īstenojama no projekta 45. punkta izrietošā tiesiskā iespēja pamatot nokavējumu, piemēram, vai pamatojums sniedzams, iesniedzot ražotāju organizācijas atbalsta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anotācijas 1.3. apakšpunkts papildināts ar praktiskiem aspektiem, lai ražotāju organizācijām būtu skaidrs, kā īstenojama no projekta 46. punkta izrietošā tiesiskā iespēja pamatot nokavējumu.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 Ražotāju organizācija par iepriekšējā gadā īstenoto darbības programmu ir tiesīga pārskaitīt maksājumus pēc kārtējā gada 15. februāra, bet ne vēlāk kā līdz kārtējā gada 30. aprīlim, ja tā pamato, ka kavējums radies no ražotāju organizācijas neatkarīgu iemeslu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Lai ražotāju organizācija saņemtu šo noteikumu </w:t>
            </w:r>
            <w:r w:rsidR="00000000" w:rsidRPr="00000000" w:rsidDel="00000000">
              <w:rPr>
                <w:rtl w:val="0"/>
              </w:rPr>
              <w:t xml:space="preserve">97.2.</w:t>
            </w:r>
            <w:r w:rsidR="00000000" w:rsidRPr="00000000" w:rsidDel="00000000">
              <w:rPr>
                <w:rtl w:val="0"/>
              </w:rPr>
              <w:t xml:space="preserve"> apakšpunktā minēto maksājumu, tā iesniedz dienestā </w:t>
            </w:r>
            <w:r w:rsidR="00000000" w:rsidRPr="00000000" w:rsidDel="00000000">
              <w:rPr>
                <w:rtl w:val="0"/>
              </w:rPr>
              <w:t xml:space="preserve">10. </w:t>
            </w:r>
            <w:r w:rsidR="00000000" w:rsidRPr="00000000" w:rsidDel="00000000">
              <w:rPr>
                <w:rtl w:val="0"/>
              </w:rPr>
              <w:t xml:space="preserve">pielikumu</w:t>
            </w:r>
            <w:r w:rsidR="00000000" w:rsidRPr="00000000" w:rsidDel="00000000">
              <w:rPr>
                <w:rtl w:val="0"/>
              </w:rPr>
              <w:t xml:space="preserve"> par attiecīgajā darbības programmas periodā prognozētajiem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47. un 48. punktu (Noteikumu 100. un 102. punkts), ņemot vērā, ka ražotāju organizācija Lauku atbalsta dienestā iesniedz, nevis 10. pielikumu, bet ražotāju organizācijas starpmaksājuma, avansa maksājuma vai gala atbalsta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noteiktības nolūkā lūdzam projekta 50. punktā konkretizēt, kas ir domāts ar pieprasījuma dienu - pieprasījuma nosūtīšanas, saņemšanas v.tml.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48. un 49. punkts precizēts, ņemot vērā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 precizējot jēdziena 'pieprasījuma diena'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Lai ražotāju organizācija saņemtu šo noteikumu </w:t>
            </w:r>
            <w:r w:rsidR="00000000" w:rsidRPr="00000000" w:rsidDel="00000000">
              <w:rPr>
                <w:rtl w:val="0"/>
              </w:rPr>
              <w:t xml:space="preserve">97.2.</w:t>
            </w:r>
            <w:r w:rsidR="00000000" w:rsidRPr="00000000" w:rsidDel="00000000">
              <w:rPr>
                <w:rtl w:val="0"/>
              </w:rPr>
              <w:t xml:space="preserve"> apakšpunktā minēto maksājumu, tā iesniedz dienestā ražotāju organizācijas starpmaksājuma, avansa maksājuma vai gala atbalsta iesniegumu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 par konkrētajā darbības programmas periodā prognozētajiem 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normas, kas attiecināmas uz ražotāju organizācijas izslēgšanu no atbalsta saņēmēju loka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 projekta izrietošos grozījumus attiecībā uz 1. pielikumu, izvērtēt tā lomu Noteikumos un nepieciešamības gadījumā precizēt projektu vai sniegt attiecīgus skaidrojumus anotācijas 1.3. apakšsadaļā. Vēršam uzmanību, ka spēkā esošajā Noteikumu redakcijā tiek nodrošināta skaidra izpratne par to, ka 1. pielikumu piemēro izvērtējot ražotāju organizāciju atbilstību, bet līdz ar grozījumiem vienīgā atsauce uz 1. pielikuma piemērošanu Noteikumos tiek svītrota un nav arī skaidrota tā piemērošana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(noteikumu 4. punkts) ir precizēts, skaidri nosakot nosacījumus, kas ierobežo atbalsta piešķiršanu, kā arī iekļaujot atsauci uz 1.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normas, kas attiecināmas uz ražotāju organizācijas izslēgšanu no atbalsta saņēmēju loka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Ražotāju organizācijas atzīšanas iesniegums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2.pielikumā ietverto Ministru kabineta 2023. gada 25. aprīļa noteikumu Nr. 203 “Ražotāju organizāciju atzīšanas un atbalsta piešķiršanas kārtība” 2.pielikuma B sadaļas (Deklarācija) 4.punktu ar projekta 1.pielikumā ietvertajām tiesību normām, kas attiecināmas uz ražotāju organizācijas izslēgšanu no atbalsta saņēmēju loka.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precizēts noteikumu 2. pielikuma (Deklarācija par atzīšanas iesniegumu) 4. punkts, lai nodrošinātu tā atbilstību noteikumu 4. punktā un 4.2. apakšpunktā noteiktajām tiesību normām. Precizētā redakcija paredz, ka ražotāju organizācijas atzīšanas iesnieguma iesniegšanas brīdī nepastāv Ministru kabinetā 2023. gada 25. aprīlī pieņemto noteikumu Nr. 203 “Ražotāju organizāciju atzīšanas un atbalsta piešķiršanas kārtība” 4.2. apakšpunktā ietvertie nosacījumi, kas liedz atzīt ražotāju 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Ražotāju organizācijas atzīšanas iesniegums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Ražotāju organizācijas darbības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5.pielikumā ietverto Ministru kabineta 2023. gada 25. aprīļa noteikumu Nr. 203 “Ražotāju organizāciju atzīšanas un atbalsta piešķiršanas kārtība” 5.pielikuma C sadaļas (Deklarācija) 4.punktu ar projekta 1.pielikumā ietvertajām tiesību normām, kas attiecināmas uz ražotāju organizācijas izslēgšanu no atbalsta saņēmēju loka.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precizēts noteikumu 5. pielikuma C sadaļas (Deklarācija) 4. punkts, lai nodrošinātu tā atbilstību noteikumu 1. pielikumā un 4. punktā noteiktajām prasībām. Deklarācijā iekļauts precizēts formulējums, nosakot, ka ražotāju organizācijas darbības fonda iesniegšanas brīdī nepastāv Ministru kabineta 2023. gada 25. aprīļa noteikumu Nr. 203 “Ražotāju organizāciju atzīšanas un atbalsta piešķiršanas kārtība” 4.1. un 4.2. apakšpunktā ietvertie nosacījumi, kas liedz saņemt apstiprinājumu nākamā gada darbības fondam.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Ražotāju organizācijas darbības fonds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25-TA-1162</w:t>
    </w:r>
    <w:r>
      <w:br/>
    </w:r>
    <w:r w:rsidR="00000000" w:rsidRPr="00000000" w:rsidDel="00000000">
      <w:rPr>
        <w:rtl w:val="0"/>
      </w:rPr>
      <w:t xml:space="preserve">09.11.2025. 20.37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25-TA-1162</w:t>
    </w:r>
    <w:r>
      <w:br/>
    </w:r>
    <w:r w:rsidR="00000000" w:rsidRPr="00000000" w:rsidDel="00000000">
      <w:rPr>
        <w:rtl w:val="0"/>
      </w:rPr>
      <w:t xml:space="preserve">09.11.2025. 20.37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Izziņa_25-TA-1162.docx</dc:title>
</cp:coreProperties>
</file>

<file path=docProps/custom.xml><?xml version="1.0" encoding="utf-8"?>
<Properties xmlns="http://schemas.openxmlformats.org/officeDocument/2006/custom-properties" xmlns:vt="http://schemas.openxmlformats.org/officeDocument/2006/docPropsVTypes"/>
</file>