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25-TA-520: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Jūras vides aizsardzības un pārvaldības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30.01.2026. 16:48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Niršanai jūrā noteikto aizliegumu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Panta nosaukumā ieteicams iespējami precīzi norādīt tajā iekļautā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projektā paredzētos grozījumus, likuma 21. pantā būs noteikta administratīvā atbildība tikai par "niršanu aizliegtajā teritorijā". Līdz ar to panta nosaukumā varētu precīzi un tiešā tekstā tekstā šo pārkāpumu norādīt, proti: "21. pants. Niršana aizliegtajā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Niršana aizliegtajā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pārskatāms anotācijas I sadaļas 1.3.punktā iekļautais teikums - “Fiziskām personām nebūs jāmaksā valsts nodeva, lai saņemtu niršanas atļauju.” Kā izriet no likumprojekta teksta, turpmāk vairs netiks izsniegtas niršanas atļaujas, līdz ar to arī nebūs jāmaksā vēl šobrīd noteiktā valsts nodeva par atļaujas izsniegšanu niršanai jūrā ierobežotajās teritorijās. Savukārt no anotācijā iekļautā teikuma var saprast, ka niršanas atļaujas turpinās izsniegt, bet valsts nodeva vairs nebūs jāmaksā. Ņemot vērā minēto, lūdzam precizēt norādīto anotācijā iekļauto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08.12.2025. 17:18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niršanai jūrā aizliegtās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paziņošanas kārtību Krasta apsardzei pirms niršanas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aicina pārskatīt Ministru kabinetam noteikto deleģējumu.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norādam, ka niršanai jūrā aizliegtās teritorijas (to izpratne) un paziņošanas pienākums Krasta apsardzei pirms niršanas jūrā faktiski jau ir noteikts likumprojekta 1. pantā (paredzētā grozāmā likuma 19.</w:t>
            </w:r>
            <w:r w:rsidR="00000000" w:rsidRPr="00000000" w:rsidDel="00000000">
              <w:rPr>
                <w:vertAlign w:val="superscript"/>
                <w:rtl w:val="0"/>
              </w:rPr>
              <w:t xml:space="preserve">1</w:t>
            </w:r>
            <w:r w:rsidR="00000000" w:rsidRPr="00000000" w:rsidDel="00000000">
              <w:rPr>
                <w:rtl w:val="0"/>
              </w:rPr>
              <w:t xml:space="preserve"> panta pirmā, otrā un trešā daļa). Domājams, likumprojektā varētu būt plānots Ministru kabinetam piešķirt tiesības noteikt konkrētas aizliegtās teritorijas, to robežas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ir papildināta  likumprojekta anotācijas 1.3. sadaļa un 4. sadaļa ar informāciju, ka paziņošanas kārtībā tiks noteikta Krasta apsardzes dienesta kontaktinformācija, kur jāziņo par niršanu jūrā, kā arī informācijas apjoms, kas jāiesniedz par kuģošanas līdzekli, tā vadītāju un personām uz klāja, no kura tiks veikta niršana, precīza niršanas vieta un informācija par personu, kas veiks niršanu jūrā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4.1.2. sadaļā ir ietverts neliels Ministru kabineta noteikumos ietveramas informācijas apjoms. Proti,   "paziņošanas kārtībā tiks noteikta Krasta apsardzes dienesta kontaktinformācija, kur jāziņo par niršanu jūrā, kā arī informācijas apjoms, kas jāiesniedz par kuģošanas līdzekli, tā vadītāju un personām uz klāja, no kura tiks veikta niršana, precīza niršanas vieta un informācija par personu, kas veiks niršanu jūrā, kā arī no noteikumiem tiks svītrots regulējums, kas nosaka niršanai ierobežotās teritorijas". Ņemot vērā minēto, aicinām atkārtoti pārskatīt minētās kārtības ietveršanu Jūras vides aizsardzības un pārvaldības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Niršanai jūrā aizliegtās teritorijas var noteikt Ministru kabinets. Vienlaikus aicinām apsvērt, vai tās nevarētu noteikt arī pašvaldības, kuras ir attiecīgo jūras piekrastes ūdeņu tiesiskās valdītājas. Tāpat nepieciešams izvērtēt, vai Ministru kabineta noteikumi ir piemērotākais un efektīvākais tiesiskais instruments, lai noteiktu aizliegtās teritorijas. Piemēram, pastāv jautājums, kāpēc tās nevarētu noteikt iestāde, izdodot vispārīgo administratīvo aktu. Projekta anotācijā nepieciešams pamatot Ministru kabineta noteikumu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vides aizsardzības un pārvaldības likuma 19.¹ pantā ietvertais </w:t>
            </w:r>
            <w:r w:rsidR="00000000" w:rsidRPr="00000000" w:rsidDel="00000000">
              <w:rPr>
                <w:b w:val="1"/>
                <w:rtl w:val="0"/>
              </w:rPr>
              <w:t xml:space="preserve">spēkā esošais regulējums attiecībā uz niršanai aizliegtajām teritorijām netiek mainīts</w:t>
            </w:r>
            <w:r w:rsidR="00000000" w:rsidRPr="00000000" w:rsidDel="00000000">
              <w:rPr>
                <w:rtl w:val="0"/>
              </w:rPr>
              <w:t xml:space="preserve">, proti, netiek mainīts niršanai jūrā aizliegto teritoriju skaidrojums, kā arī Ministru kabinetam piešķirtās tiesības noteikt konkrētas niršanai aizliegtās teritorijas (to koordinātas). Ar grozījumiem plānots atteikties tikai no regulējuma saistībā ar niršanai ierobežotajām teritorijām un ar tām saistītajiem nosacījumiem. Likuma 19.¹ pants tiek izteikts jaunā redakcijā, jo no spēkā esošās normas svītrots regulējums attiecībā uz niršanai ierobežotām teritorijām (spēkā esošā 19.¹ panta pirmā un otrā daļa), pants papildināts ar pienākumu paziņot par niršanu, kā arī svītrots deleģējums Ministru kabinetam saistībā ar niršanai ierobežotām teritorijām un niršanas atļauju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likumprojektā ietverto deleģējumu, </w:t>
            </w:r>
            <w:r w:rsidR="00000000" w:rsidRPr="00000000" w:rsidDel="00000000">
              <w:rPr>
                <w:b w:val="1"/>
                <w:rtl w:val="0"/>
              </w:rPr>
              <w:t xml:space="preserve">netiks gatavoti jauni Ministru kabineta noteikumi, bet grozījumi spēkā esošajos Ministru kabineta 2010. gada 21. decembra noteikumos Nr. 1171 “Noteikumi par Latvijas ūdeņu izmantošanas kārtību un kuģošanas režīmu tajos”</w:t>
            </w:r>
            <w:r w:rsidR="00000000" w:rsidRPr="00000000" w:rsidDel="00000000">
              <w:rPr>
                <w:rtl w:val="0"/>
              </w:rPr>
              <w:t xml:space="preserve">, kas izdoti, pamatojoties uz Jūrlietu pārvaldes un jūras drošības likuma 7. panta otro daļu un Jūras vides aizsardzības un pārvaldības likuma 19.¹ panta sestās daļas 1. punktu, kas </w:t>
            </w:r>
            <w:r w:rsidR="00000000" w:rsidRPr="00000000" w:rsidDel="00000000">
              <w:rPr>
                <w:b w:val="1"/>
                <w:rtl w:val="0"/>
              </w:rPr>
              <w:t xml:space="preserve">jau šobrīd nosaka niršanai aizliegtās teritorijas</w:t>
            </w:r>
            <w:r w:rsidR="00000000" w:rsidRPr="00000000" w:rsidDel="00000000">
              <w:rPr>
                <w:rtl w:val="0"/>
              </w:rPr>
              <w:t xml:space="preserve"> (45.¹ punkts un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likumprojektam Ministru kabineta 2010. gada 21. decembra noteikumi Nr. 1171 “Noteikumi par Latvijas ūdeņu izmantošanas kārtību un kuģošanas režīmu tajos” tiks papildināti ar paziņošanas par niršanu kārtību, kā arī no tiem tiks svītrots regulējums saistībā ar niršanu ierobežotās teritorijās un niršanas atļauju izsniegšanu. Saskaņā ar Zemes pārvaldības likuma 15. panta otro daļu vietējā pašvaldība ir valdītājs tās administratīvajai teritorijai piegulošajiem jūras piekrastes ūdeņiem, t.i., akvatorija divu kilometru platumā no jūras krasta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Niršanai jūrā aizliegtās teritorijas nepieciešams noteikt arī ārpus jūras piekrastes ūdeņiem (jūrā), līdz ar to saglabājams spēkā esošais deleģējums un no tā izrietošais regulējums Ministru kabineta 2010. gada 21. decembra noteikumos Nr. 1171 “Noteikumi par Latvijas ūdeņu izmantošanas kārtību un kuģošanas režīmu tajos”.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niršanai jūrā aizliegtās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paziņošanas kārtību Krasta apsardzei pirms niršanas jūrā.".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Niršanai jūrā noteikto prasību un aizliegumu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Panta nosaukums neatbilst tā saturam un neatklāj administratīvā pārkāpuma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izslēgt grozāmā likuma 21. panta pirmo daļu. Tātad šajā pantā būs noteikta administratīvā atbildība tikai par niršanu aizliegtajā teritorijā. Līdz ar to panta nosaukums ir daudz plašāks nekā administratīvās atbildības regulējums. Tas arī neatklāj vienīgā administratīvā pārkāpuma būtību.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Niršana aizliegtajā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pārejas noteikumus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kabinets līdz 2026. gada 1.septembrim izdod šā likuma 19.</w:t>
            </w:r>
            <w:r w:rsidR="00000000" w:rsidRPr="00000000" w:rsidDel="00000000">
              <w:rPr>
                <w:vertAlign w:val="superscript"/>
                <w:rtl w:val="0"/>
              </w:rPr>
              <w:t xml:space="preserve">1</w:t>
            </w:r>
            <w:r w:rsidR="00000000" w:rsidRPr="00000000" w:rsidDel="00000000">
              <w:rPr>
                <w:rtl w:val="0"/>
              </w:rPr>
              <w:t xml:space="preserve"> panta piektajā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tajā ietvertie grozījumi stājas spēkā 2026. gada 1. septembrī. Vienlaikus likumprojekta 3. pants paredz papildināt Jūras vides aizsardzības un pārvaldības likumu ar pārejas noteikumu, ar kuru noteikts, ka Ministru kabinets līdz 2026. gada 1. septembrim izdod šā likuma 19.</w:t>
            </w:r>
            <w:r w:rsidR="00000000" w:rsidRPr="00000000" w:rsidDel="00000000">
              <w:rPr>
                <w:vertAlign w:val="superscript"/>
                <w:rtl w:val="0"/>
              </w:rPr>
              <w:t xml:space="preserve">1</w:t>
            </w:r>
            <w:r w:rsidR="00000000" w:rsidRPr="00000000" w:rsidDel="00000000">
              <w:rPr>
                <w:rtl w:val="0"/>
              </w:rPr>
              <w:t xml:space="preserve"> panta piektajā daļā minētos noteikumus. Tieslietu ministrijas ieskatā juridiska slodze šādam pārejas noteikumam ir tad, ja paredzēts, ka uz likumprojekta pamata izdotie Ministru kabineta noteikumi tiek izdoti pēc likumprojekta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07.07.2025. 15:34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niršanai jūrā aizliegtās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paziņošanas kārtību Krasta apsardzei pirms niršanas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lūdzam izvērtēt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Neskarot Tieslietu ministrijas 06.05.2025. atzinumā minētos iebildumus, rosinām izvērtēt pilnvarojuma saturu un tā nepieciešamību pēc būtības. Precizētais likumprojekta 1. pants paredz, ka "</w:t>
            </w:r>
            <w:r w:rsidR="00000000" w:rsidRPr="00000000" w:rsidDel="00000000">
              <w:rPr>
                <w:i w:val="1"/>
                <w:rtl w:val="0"/>
              </w:rPr>
              <w:t xml:space="preserve">Ministru kabinets nosaka niršanai jūrā aizliegtās teritorijas un paziņošanas kārtību Krasta apsardzei pirms niršanas jūrā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Niršanai jūrā aizliegtās teritorijas (to izpratne) un paziņošanas pienākums Krasta apsardzei pirms niršanas jūrā faktiski jau ir noteikts likumprojekta 1. pantā (paredzētā grozāmā likuma 19.</w:t>
            </w:r>
            <w:r w:rsidR="00000000" w:rsidRPr="00000000" w:rsidDel="00000000">
              <w:rPr>
                <w:vertAlign w:val="superscript"/>
                <w:rtl w:val="0"/>
              </w:rPr>
              <w:t xml:space="preserve">1</w:t>
            </w:r>
            <w:r w:rsidR="00000000" w:rsidRPr="00000000" w:rsidDel="00000000">
              <w:rPr>
                <w:rtl w:val="0"/>
              </w:rPr>
              <w:t xml:space="preserve"> panta pirmā, otrā un trešā daļa). Domājams, likumprojektā varētu būt plānots Ministru kabinetam piešķirt tiesības noteikt konkrētas aizliegtās teritorijas, to robežas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 sadaļā nav ietverts pamatojums Ministru kabineta noteikumu nepieciešamībai un to satura skaidrojums (regulējamo jautājumu bloku izklāsts). Līdz ar to nav konstatējams, kas varētu ietilpt paziņošanas kārtībā, par kuras neievērošanu ir paredzēta arī administratīvā atbildība. Tāpat, piem., attiecībā uz konkrētu aizliegto teritoriju noteikšanu nav vērtējuma, kāpēc šādā gadījumā nevarētu izmantot vispārīgo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pilnvarojumu Ministru kabinetam, nepieciešamības gadījumā attiecīgi precizējot likumprojekta 1.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izrunāts starpinstitūciju sanāksmē 2025. gada 20. oktobrī.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kabinetam noteikt niršanai aizliegtās teritorijas un paziņošanas kārtību ir jāsaglabā. Šobrīd spēkā esošie Ministru kabineta 2010. gada 21. decembra noteikumi Nr. 1171 "Noteikumi par Latvijas ūdeņu izmantošanas kārtību un kuģošanas režīmu tajos", kuru 4. pielikumā noteiktas niršanai aizliegtās teritorijas, ir izdoti, pamatojoties uz Jūras vides aizsardzības un pārvaldības likuma 19.¹ panta sestās daļas 1. punktu. Ņemot vērā, ka ar grozījumiem paredzēts izteikt minēto pantu jaunā redakcijā, kurā sestā daļa vairs nav iekļauta, ir būtiski saglabāt deleģējumu Ministru kabinetam noteikt niršanai aizliegtās teritorijas. Niršanai jūrā aizliegtās teritorijas un atbildība par niršanu aizliegtajās teritorijās jau ir noteikta.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sadaļa un 4. sadaļa ar informāciju, ka paziņošanas kārtībā tiks noteikta Krasta apsardzes dienesta kontaktinformācija, kur jāziņo par niršanu jūrā, kā arī informācijas apjoms, kas jāiesniedz par kuģošanas līdzekli, tā vadītāju un personām uz klāja, no kura tiks veikta niršana, precīza niršanas vieta un informācija par personu, kas veiks niršanu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niršanai jūrā aizliegtās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paziņošanas kārtību Krasta apsardzei pirms niršanas jūrā.".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Niršanai jūrā noteikto prasību un aizliegumu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niršanu jūrā, nepaziņojot par to Krasta apsardzei Ministru kabineta noteiktajā kārtībā, piemēro brīdinājumu vai naudas sodu līdz septiņdesmit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06.05.2025. iebildums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iepriekšējā atzinumā, nav pieļaujams, ka pārkāpuma saturu faktiski noteiktu Ministru kabinets ("nepaziņojot par to Krasta apsardzei </w:t>
            </w:r>
            <w:r w:rsidR="00000000" w:rsidRPr="00000000" w:rsidDel="00000000">
              <w:rPr>
                <w:u w:val="single"/>
                <w:rtl w:val="0"/>
              </w:rPr>
              <w:t xml:space="preserve">Ministru kabineta noteiktajā kārtībā</w:t>
            </w:r>
            <w:r w:rsidR="00000000" w:rsidRPr="00000000" w:rsidDel="00000000">
              <w:rPr>
                <w:rtl w:val="0"/>
              </w:rPr>
              <w:t xml:space="preserve">"). Turklāt šajā aspektā lūdzam pievērst uzmanību arī Tieslietu ministrijas iebildumam par likumprojekta 1. pantā ietvertā pilnvarojuma saturu.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Pārkāpuma formulējumā neietver atsauces uz citiem normatīvajiem aktiem. Normas, kas noteic administratīvo atbildību, gandrīz vienmēr ir blanketas normas. Tā tas ir arī šajā gadījumā. Līdz ar to pārkāpuma definējumā ir vispārīgi ietveramas visas nepieciešamās pārkāpuma pazīmes, bet to detalizācija ir meklējama korespondējošajās normās.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saskatāms pamatojums, kāpēc būtu paredzama administratīvā atbildība par paziņošanas kārtības neievērošanu. Vērtējot pārkāpuma bīstamības un kaitīguma aspektu, nozīme piešķirama tam, vai vispār ir paziņots par niršanu jūrā. Tādējādi varētu būt jautājums par iespējamu administratīvo atbildību par "niršanu jūrā, nepaziņojot par to Krasta apsardzei".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informāciju, ka atbildība par 19.</w:t>
            </w:r>
            <w:r w:rsidR="00000000" w:rsidRPr="00000000" w:rsidDel="00000000">
              <w:rPr>
                <w:vertAlign w:val="superscript"/>
                <w:rtl w:val="0"/>
              </w:rPr>
              <w:t xml:space="preserve">1 </w:t>
            </w:r>
            <w:r w:rsidR="00000000" w:rsidRPr="00000000" w:rsidDel="00000000">
              <w:rPr>
                <w:rtl w:val="0"/>
              </w:rPr>
              <w:t xml:space="preserve">panta pirmajā daļā noteikto paziņošanas pienākuma nepildīšanu “Persona vismaz 24 stundas pirms niršanas jūrā paziņo par to Nacionālo bruņoto spēku Jūras spēku Krasta apsardzes dienestam (turpmāk – Krasta apsardze)” ir noteikta Administratīvo sodu likuma par pārkāpumiem pārvaldes, sabiedriskās kārtības un valsts valodas lietošanas jomā 3.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Administratīvo sodu likuma par pārkāpumiem pārvaldes, sabiedriskās kārtības un valsts valodas lietošanas jomā 29. panta pirmajai daļai, Nacionālo bruņoto spēku Jūras spēku Krasta apsardzes dienests  ir tiesīgs veikt administratīvā pārkāpuma procesu par šā likuma 3. panta pirmajā daļā minēto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neziņošanu Krasta apsardzei tiek noteikta, jo ziņošana ir būtiska, lai kontrolētu personas, kas nirst Baltijas jūrā uz kuģu vrakiem, kas satur kultūrvēsturiskas vērtības. Krasta apsardze, kontrolējot kuģošanas drošību Baltijas jūrā, zinātu par peldlīdzekļiem ar ierobežotu manevrētspēju, kā arī par paaugstinātas bīstamības darbībām. Negadījuma gadījumā uzlabojas ūdenslīdēju glābšana, jo ir pieejama informācija par niršanas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Niršana aizliegtajā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nav norādīti alternatīvie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06.05.2025. atzinumā tika ietverts lūgums papildināt anotāciju, norādot tajā alternatīvos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ir  norādīts, ka  "</w:t>
            </w:r>
            <w:r w:rsidR="00000000" w:rsidRPr="00000000" w:rsidDel="00000000">
              <w:rPr>
                <w:i w:val="1"/>
                <w:rtl w:val="0"/>
              </w:rPr>
              <w:t xml:space="preserve">alternatīvais risinājums ir šobrīd spēkā esošais. Proti, par niršanu uz vrakiem jūrā niršanai ierobežotās teritorijās jāsaņem Krasta apsardzes dienesta atļauja atbilstoši Ministru kabineta 2016. gada 1. marta noteikumiem Nr. 133 "Noteikumi par niršanu jūrā ierobežotās teritorijās</w:t>
            </w:r>
            <w:r w:rsidR="00000000" w:rsidRPr="00000000" w:rsidDel="00000000">
              <w:rPr>
                <w:rtl w:val="0"/>
              </w:rPr>
              <w:t xml:space="preserve">". Saistībā ar minēto vēršam uzmanību, ka būtisks projekta sākotnējās ietekmes izvērtēšanas solis ir identificēt un izvērtēt visus </w:t>
            </w:r>
            <w:r w:rsidR="00000000" w:rsidRPr="00000000" w:rsidDel="00000000">
              <w:rPr>
                <w:b w:val="1"/>
                <w:rtl w:val="0"/>
              </w:rPr>
              <w:t xml:space="preserve">iespējamos risinājumus mērķa sasniegšanai</w:t>
            </w:r>
            <w:r w:rsidR="00000000" w:rsidRPr="00000000" w:rsidDel="00000000">
              <w:rPr>
                <w:rtl w:val="0"/>
              </w:rPr>
              <w:t xml:space="preserve">, tostarp izvērtējot alternatīvas. Liela daļa regulējuma kvalitātes problēmu rodas tādēļ, ka praksē regulējuma izstrādes procesā niecīga nozīme tiek piešķirta dažādu iespējamo risinājumu (alternatīvu) identificēšanai par to, kā būtu iespējams sasniegt izvirzīto mērķi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12. -13.</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Līdz ar to alternatīvie risinājumi ir apsverami jebkurā gadījumā. Turklāt, vismaz saistībā ar administratīvās atbildības regulējumu, tā ir neatņemama administratīvās atbildības nepieciešamības un pieļaujamības kritēriju sastāvdaļa (piemēram, jau projekta anotācijā pieminētais administratīvā procesa prioritātes princips). Ievērojot minēto, lūdzam atbilstoši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regulējuma apraksts nav uzskatāms par alternatīvo risinājumu pilnvērtīgu izvērtēšanu.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izrunāts starpinstitūciju sanāksmē 2025. gada 20.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sadarbībā ar NBS iepriekš izstrādāja likumprojektu “Grozījums Jūras vides aizsardzības un pārvaldības likumā” (Nr. 107/Lp14), kura virzību Saeimas Juridiskais birojs neatbalstīja. Vērtējot jautājumu par likumprojekta “Grozījums Jūras vides aizsardzības  un pārvaldības likumā” (Nr. 107/Lp14) virzību, sanāksmēs ar iesaistītajām institūcijām tika vērtēti arī citi iespējamie priekšlikumi jautājuma risināšanai un normatīvā regulējuma precizēšanai, kā rezultātā ir izstrādāts pašreizējais likumprojekts “Grozījumi Jūras vides aizsardzības un pārvaldības likumā”, 25-TA-520, lai  noteiktu efektīvāku tiesisko regulējumu niršanai jūrā.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sadaļa attiecībā par alternatīvajiem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Izskatot precizēto anotāciju, secināms, ka attiecībā uz likumprojekta 2.</w:t>
            </w:r>
            <w:r w:rsidR="00000000" w:rsidRPr="00000000" w:rsidDel="00000000">
              <w:rPr>
                <w:rtl w:val="0"/>
              </w:rPr>
              <w:t xml:space="preserve"> </w:t>
            </w:r>
            <w:r w:rsidR="00000000" w:rsidRPr="00000000" w:rsidDel="00000000">
              <w:rPr>
                <w:b w:val="1"/>
                <w:rtl w:val="0"/>
              </w:rPr>
              <w:t xml:space="preserve">pantu  tomēr nav izvērtēti Tieslietu ministrijas 06.05.2025. atzinumā minētie administratīvās atbildības nepieciešamības un pieļaujamības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nav ietverts pilnvērtīgs pamatojums izvēlētajam soda veidam un apmēram. Anotācijas precizēšanai var izmantot šo paraugu: https://titania.saeima.lv/LIVS14/SaeimaLIVS14.nsf/0/409BDE95789D1A8CC2258BF900284AD6?OpenDocument (sk.12.-16.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izvērtējama arī Administratīvo sodu likuma par pārkāpumiem pārvaldes, sabiedriskās kārtības un valsts valodas lietošanas jomā 3. panta piemērošana (būtībā paziņošana ir informācijas sniegšana iestādei) un tā mijiedarbība ar likumprojektā paredzēto administratīvās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Sods ir paredzēts Administratīvo sodu likuma par pārkāpumiem pārvaldes, sabiedriskās kārtības un valsts valodas lietošanas jomā 3.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16.04.2025. 14:16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niršanai aizliegtās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un kārtību niršanai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pilnvarojuma saturu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Sodam ir jābalstās uz parlamenta (formālā likumdevēja) pieņemtu likumu vai parlamentam vismaz jābūt galvenajam un galīgajam likumdevējam (</w:t>
            </w:r>
            <w:r w:rsidR="00000000" w:rsidRPr="00000000" w:rsidDel="00000000">
              <w:rPr>
                <w:i w:val="1"/>
                <w:rtl w:val="0"/>
              </w:rPr>
              <w:t xml:space="preserve">nulla poena sine lege parlamentaria) (Gröning L. Nulla Poena Sine Lege Parlamentaria? Democratic Legitimacy and European Penal Law. In: Legislation in Context: Essays in Legisprudence. Edited by Luc J. Wintgens. Hampshire: Ashgate, 2007, p.185</w:t>
            </w:r>
            <w:r w:rsidR="00000000" w:rsidRPr="00000000" w:rsidDel="00000000">
              <w:rPr>
                <w:rtl w:val="0"/>
              </w:rPr>
              <w:t xml:space="preserve">). Līdz ar to īpaša uzmanība pievēršama arī pilnvarojuma Ministru kabinetam kvalitātei, tā saturam, apjomam un citām pilnvarojumu raksturojošām pazīmēm. Sodošās normas precizitātei nav pietiekami, ja pārkāpuma pazīmes atrodamas izpildvaras normatīvajā aktā, kas balstīts uz nepietiekami precīzu pilnvarojumu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102.lpp.</w:t>
            </w:r>
            <w:r w:rsidR="00000000" w:rsidRPr="00000000" w:rsidDel="00000000">
              <w:rPr>
                <w:rtl w:val="0"/>
              </w:rPr>
              <w:t xml:space="preserve">). Nav pieļaujama situācija, ka pārkāpuma saturu patiesībā noteiktu Ministru kabinets (izpildvara).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iekārtas likuma 31.panta pirmās daļas 1.punkts noteic, ka Ministru kabinets var izdot ārējus normatīvos aktus – noteikumus, ja likums Ministru kabinetu tam īpaši pilnvarojis. Pilnvarojumā norāda tā galvenos satura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 pēc noteikumu galveno satura virzienu norādīšanas nozīmē Saeimas obligātu saturisko virsvadību. Tas nozīmē, ka Ministru kabinets var tikai </w:t>
            </w:r>
            <w:r w:rsidR="00000000" w:rsidRPr="00000000" w:rsidDel="00000000">
              <w:rPr>
                <w:b w:val="1"/>
                <w:rtl w:val="0"/>
              </w:rPr>
              <w:t xml:space="preserve">konkretizēt (detalizēt) </w:t>
            </w:r>
            <w:r w:rsidR="00000000" w:rsidRPr="00000000" w:rsidDel="00000000">
              <w:rPr>
                <w:rtl w:val="0"/>
              </w:rPr>
              <w:t xml:space="preserve">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Jābūt skaidram pilnvarojuma mērķim, tā saturam un apjomam. Ar pilnvarojuma mērķi saprot to, ko likumdevējs centies panākt, piešķirot Ministru kabinetam tiesības noregulēt attiecīgo jautājumu (</w:t>
            </w:r>
            <w:r w:rsidR="00000000" w:rsidRPr="00000000" w:rsidDel="00000000">
              <w:rPr>
                <w:i w:val="1"/>
                <w:rtl w:val="0"/>
              </w:rPr>
              <w:t xml:space="preserve">Satversmes tiesas 2007.gada 9.oktobra sprieduma lietā Nr.2007-04-03 19.punkts</w:t>
            </w:r>
            <w:r w:rsidR="00000000" w:rsidRPr="00000000" w:rsidDel="00000000">
              <w:rPr>
                <w:rtl w:val="0"/>
              </w:rPr>
              <w:t xml:space="preserve">). Pilnvarojuma saturs atklāj tā būtību un jēgu (</w:t>
            </w:r>
            <w:r w:rsidR="00000000" w:rsidRPr="00000000" w:rsidDel="00000000">
              <w:rPr>
                <w:i w:val="1"/>
                <w:rtl w:val="0"/>
              </w:rPr>
              <w:t xml:space="preserve">Satversmes tiesas 2007.gada 9.oktobra sprieduma lietā Nr.2007-04-03 20.punkts</w:t>
            </w:r>
            <w:r w:rsidR="00000000" w:rsidRPr="00000000" w:rsidDel="00000000">
              <w:rPr>
                <w:rtl w:val="0"/>
              </w:rPr>
              <w:t xml:space="preserve">). Likumdevēja dotajam pilnvarojumam ir jābūt pietiekami skaidram un precīzam (</w:t>
            </w:r>
            <w:r w:rsidR="00000000" w:rsidRPr="00000000" w:rsidDel="00000000">
              <w:rPr>
                <w:i w:val="1"/>
                <w:rtl w:val="0"/>
              </w:rPr>
              <w:t xml:space="preserve">Satversmes tiesas 2018.gada 18.oktobra sprieduma lietā Nr.2017-33-03 14.punkts; Satversmes tiesas 2005.gada 21.novembra sprieduma lietā Nr.2005030306 10.punkts</w:t>
            </w:r>
            <w:r w:rsidR="00000000" w:rsidRPr="00000000" w:rsidDel="00000000">
              <w:rPr>
                <w:rtl w:val="0"/>
              </w:rPr>
              <w:t xml:space="preserve">). Savukārt pilnvarojuma apjoms nozīmē to jautājumu loku, kurus institūcija, īstenojot likumdevēja doto pilnvarojumu, ir tiesīga noregulēt (</w:t>
            </w:r>
            <w:r w:rsidR="00000000" w:rsidRPr="00000000" w:rsidDel="00000000">
              <w:rPr>
                <w:i w:val="1"/>
                <w:rtl w:val="0"/>
              </w:rPr>
              <w:t xml:space="preserve">Satversmes tiesas 2016.gada 2.marta sprieduma lietā Nr. 2015-11-03 23.4.punkts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minēto, gan no vispārīgo pilnvarojuma kvalitātes prasību skatpunkta, gan no sodu tiesību aspekta nav atbalstāmi tāda veida pilnvarojumi kā noteikt "prasības un kārtība niršanai jūrā". Pamatā šādam regulējumam ir jābūt ietvertam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pārskatīt visus likumprojektā "Grozījumi Jūras vides aizsardzības un pārvaldības likumā" (turpmāk – likumprojekts) un grozāmajā Jūras vides aizsardzības un pārvaldības likumā (turpmāk – likums) ietvertos pilnvarojumus Ministru kabinetam un nodrošināt regulējuma atbilstību iepriekš norādītajām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niršanai jūrā aizliegtās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paziņošanas kārtību Krasta apsardzei pirms niršanas jūrā.".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(1) Par niršanu, neievērojot prasības niršanai jūrā vai nepaziņojot par plānoto niršanu, piemēro brīdinājumu vai naudas sodu līdz septiņdesmit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Pārkāpuma formulējumā nav norādītas nepieciešamās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par kādu prasību niršanai jūrā neievērošanu vai par neziņošanu kādai iestādei var tikt piemērota administratīvā atbildība.  Lūdzam pārformulēt normu, lai ikvienam būtu skaidrs, par ko persona var tikt sodīta. Pārkāpuma pazīmēm izsmeļoši jābūt norādītām pārkāpuma formulējumā. Kā iepriekš minēts, nav pieļaujams, ka pārkāpuma saturu faktiski noteiktu Ministru kabinets ("neievērojot prasības niršanai jūrā").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2025. gada 11. jūlija atzinumā izteikto iebildumu, grozījums attiecībā par 21. panta pirmās daļas izteikšanu jaunā redakcijā tiek svītrots un likumprojekta 2. pants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 Par niršanu aizliegtajā teritorijā piemēro naudas sodu no deviņām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likuma 21.panta otrās daļas izteikšanas jaunā redakcijā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spēkā esošā likuma 21.panta otrā daļā nosaka: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niršanu aizliegtajā teritorijā piemēro naudas sodu no deviņām līdz simt četrdesmit naudas soda vienībām."  Līdz ar to likumprojekta 2.pantā ietverta likuma 21.panta otrā daļa ir identiska spēkā esošajai normai.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likumprojekta 2.pantu nav izvērtēti administratīvās atbildības nepieciešamības un pieļaujamības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noteikt jaunu administratīvās atbildības pamatu, jāizvērtē vismaz šādi kritēriji: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izvērtēt administratīvās atbildības nepieciešamību un pieļaujamību likumprojektā paredzētajā gadījumā, likumprojekta anotācijā jāietver argumentēts visu iepriekš minēto kritēriju izvērtējums. Šajā gadījumā īpaša uzmanība pievēršama pārkāpuma attiecināmībai uz publiski tiesiskajām attiecībām. Administratīvā atbildība nav paredzama par prettiesisku rīcību privāto tiesību jomā! Šādos gadījumos piemērotais administratīvais sods var būt nepamatota valsts iejaukšanās privāttiesiskās attiecībās (</w:t>
            </w:r>
            <w:r w:rsidR="00000000" w:rsidRPr="00000000" w:rsidDel="00000000">
              <w:rPr>
                <w:i w:val="1"/>
                <w:rtl w:val="0"/>
              </w:rPr>
              <w:t xml:space="preserve">plašāk sk.: Danovskis E. Administratīvās atbildības likuma pamatnoteikumu svarīgākās nostādnes. Jurista Vārds, 17.12.2019., Nr.50/51/52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iekļaujams arī paredzētā pārkāpuma satura skaidrojums, tostarp jānorāda korespondējošās tiesību normas, par kuru neievērošanu būs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iekļaujams pamatojums izvēlētajam soda veidam un apmēram.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Vol.25, Iss. 3, p.599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2005.gada 26.maija secinājumu lietā C-176/03 46.punkts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Pārkāpuma izdarīšana nedrīkst būt ekonomiski izdevīga, ja salīdzina pārkāpuma rezultātā iegūto labumu un par pārkāpumu iespējamo sodu. Soda apmēra un pārkāpuma rezultātā iegūtā labuma attiecība, kā arī reālā iespēja, ka pārkāpums vispār tiks atklāts un sods piemērots, ir kritēriji, kas raksturo arī soda preventīvo (atturošo) iedarbību (</w:t>
            </w:r>
            <w:r w:rsidR="00000000" w:rsidRPr="00000000" w:rsidDel="00000000">
              <w:rPr>
                <w:i w:val="1"/>
                <w:rtl w:val="0"/>
              </w:rPr>
              <w:t xml:space="preserve">Faure M. Effective, Proportional and Dissuasive Penalties in the Implementation of the Environmental Crime and Shipsource Pollution Directives: Questions and Challenges. European Energy and Environmental Law Review, 2010, p.260)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Administratīvā atbildība par neziņošanu Krasta apsardzei tiek noteikta, jo ziņošana ir būtiska, lai kontrolētu personas, kas nirst Baltijas jūrā uz kuģu vrakiem, kas satur kultūrvēsturiskas vērtības. Krasta apsardze, kontrolējot kuģošanas drošību Baltijas jūrā, zinātu par peldlīdzekļiem ar ierobežotu manevrētspēju, kā arī par paaugstinātas bīstamības darbībām. Negadījuma gadījumā uzlabojas ūdenslīdēju glābšana, jo ir pieejama informācija par niršanas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norādīt alternatīvos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(anotācijas) (turpmāk – anotācija) 1.3.apakšsadaļā ir norādīts, ka ir izvērtēti alternatīvie risinājumi. Saistībā ar minēto lūdzam precizēt anotācijas 1.3.apakšsadaļu, norādot visus iespējamos risinājumus mērķa sasniegšanai, tostarp izvērtētās alternatīvas.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izrunāts starpinstitūciju sanāksmē 2025. gada 20. oktobrī.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sadarbībā ar NBS iepriekš izstrādāja likumprojektu “Grozījums Jūras vides aizsardzības un pārvaldības likumā” (Nr. 107/Lp14), kura virzību Saeimas Juridiskais birojs neatbalstīja. Vērtējot jautājumu par likumprojekta “Grozījums Jūras vides aizsardzības  un pārvaldības likumā” (Nr. 107/Lp14) virzību, sanāksmēs ar iesaistītajām institūcijām tika vērtēti arī citi iespējamie priekšlikumi jautājuma risināšanai un normatīvā regulējuma precizēšanai, kā rezultātā ir izstrādāts pašreizējais likumprojekts “Grozījumi Jūras vides aizsardzības un pārvaldības likumā”, 25-TA-520, lai  noteiktu efektīvāku tiesisko regulējumu niršanai jūrā.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sadaļa attiecībā par alternatīvajiem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 Niršanai jūrā noteikto prasību un aizliegumu ievērošanu uzrauga un kontrolē Nacionālo bruņoto spēku Jūras spēki sadarbībā ar Valsts robežsardzi. Nacionālo bruņoto spēku Jūras spēku vai Valsts robežsardzes amatpersonām, veicot attiecībā uz niršanu jūrā noteikto prasību un aizliegumu ievērošanas uzraudzību un kontroli, ir tiesības pieprasīt, lai persona nekavējoties pārtrauc niršanu un kuģošanas līdzeklis atstāj aizliegto teritoriju, ja tās konstatē niršanai jūrā noteikto prasību vai noteikto aizliegumu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1. pantā iekļautajā likuma 19.</w:t>
            </w:r>
            <w:r w:rsidR="00000000" w:rsidRPr="00000000" w:rsidDel="00000000">
              <w:rPr>
                <w:vertAlign w:val="superscript"/>
                <w:rtl w:val="0"/>
              </w:rPr>
              <w:t xml:space="preserve">1</w:t>
            </w:r>
            <w:r w:rsidR="00000000" w:rsidRPr="00000000" w:rsidDel="00000000">
              <w:rPr>
                <w:rtl w:val="0"/>
              </w:rPr>
              <w:t xml:space="preserve"> panta ceturtajā daļā lietotais termins "aizliegtā teritorija" atbilst plānotajam tiesību normas mērķim, un, ja nepieciešams, lūdzam precizēt likumprojekta 1. pantā iekļauto likuma 19.</w:t>
            </w:r>
            <w:r w:rsidR="00000000" w:rsidRPr="00000000" w:rsidDel="00000000">
              <w:rPr>
                <w:vertAlign w:val="superscript"/>
                <w:rtl w:val="0"/>
              </w:rPr>
              <w:t xml:space="preserve">1</w:t>
            </w:r>
            <w:r w:rsidR="00000000" w:rsidRPr="00000000" w:rsidDel="00000000">
              <w:rPr>
                <w:rtl w:val="0"/>
              </w:rPr>
              <w:t xml:space="preserve">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 pantā iekļautās likuma 19.</w:t>
            </w:r>
            <w:r w:rsidR="00000000" w:rsidRPr="00000000" w:rsidDel="00000000">
              <w:rPr>
                <w:vertAlign w:val="superscript"/>
                <w:rtl w:val="0"/>
              </w:rPr>
              <w:t xml:space="preserve">1</w:t>
            </w:r>
            <w:r w:rsidR="00000000" w:rsidRPr="00000000" w:rsidDel="00000000">
              <w:rPr>
                <w:rtl w:val="0"/>
              </w:rPr>
              <w:t xml:space="preserve"> ceturtās daļas iziet, ka kuģošanas līdzeklis atstāj aizliegto teritoriju, ja Nacionālo bruņoto spēku Jūras spēku vai Valsts robežsardzes amatpersonas konstatē niršanai jūrā noteikto prasību vai noteikto aizliegumu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niršanai jūrā noteikto prasību vai noteikto aizliegumu pārkāpumu var konstatēt ne tikai aizliegtajās teritorijās, bet jebkurā citā teritorijā, kurā persona nirst.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"aizliegtā teritorija" atbilst plānotajam tiesību normas mērķim, proti, niršana jāpārtrauc tikai gadījumā, ja konstatēta niršana aizliegtajā teritorijā. Bet gadījumā, ja konstatēta niršana, par ko iepriekš nav paziņots, tiek uzsākts administratīvā pārkāpuma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Niršanai jūrā noteikto prasību un aizliegumu ievērošanu uzrauga un kontrolē Nacionālo bruņoto spēku Jūras spēki sadarbībā ar Valsts robežsardzi. Nacionālo bruņoto spēku Jūras spēku vai Valsts robežsardzes amatpersonām, veicot attiecībā uz niršanu jūrā noteikto prasību un aizliegumu ievērošanas uzraudzību un kontroli, ir tiesības pieprasīt, lai persona nekavējoties pārtrauc niršanu un kuģošanas līdzeklis atstāj aizliegto teritoriju, ja tās konstatē niršanai jūrā noteikto prasību vai noteikto aizliegumu pārkāpumu.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7.1., 7.2., 7.3. un 7.4.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anotācijas, Nacionālo bruņoto spēku Jūras spēku Krasta apsardzes dienestam samazināsies administratīvais slogs, vairs neveicot niršanas atļauju izsniegšanu. Tādējādi atbilstoši Ministru kabineta 2021. gada 7. septembra noteikumu Nr. 617 "Tiesību akta projekta sākotnējās ietekmes izvērtēšanas kārtība" 18. un 18.</w:t>
            </w:r>
            <w:r w:rsidR="00000000" w:rsidRPr="00000000" w:rsidDel="00000000">
              <w:rPr>
                <w:vertAlign w:val="superscript"/>
                <w:rtl w:val="0"/>
              </w:rPr>
              <w:t xml:space="preserve">2</w:t>
            </w:r>
            <w:r w:rsidR="00000000" w:rsidRPr="00000000" w:rsidDel="00000000">
              <w:rPr>
                <w:rtl w:val="0"/>
              </w:rPr>
              <w:t xml:space="preserve"> punktam lūdzam iekļaut anotācijā atbilstības izmaksu aprēķina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7.1. apakšsadaļu ar informāciju par likumprojekta izpildē iesaistītajām institūcijām, kā arī lūdzam aizpildīt anotācijas 7.4. apakšsadaļu, tā kā likumprojekts ietekmēs Nacionālo bruņoto spēku Jūras spēku Krasta apsardzes dienesta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25-TA-520</w:t>
    </w:r>
    <w:r>
      <w:br/>
    </w:r>
    <w:r w:rsidR="00000000" w:rsidRPr="00000000" w:rsidDel="00000000">
      <w:rPr>
        <w:rtl w:val="0"/>
      </w:rPr>
      <w:t xml:space="preserve">11.05.2026. 12.57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25-TA-520</w:t>
    </w:r>
    <w:r>
      <w:br/>
    </w:r>
    <w:r w:rsidR="00000000" w:rsidRPr="00000000" w:rsidDel="00000000">
      <w:rPr>
        <w:rtl w:val="0"/>
      </w:rPr>
      <w:t xml:space="preserve">11.05.2026. 12.57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Izziņa_25-TA-520.docx</dc:title>
</cp:coreProperties>
</file>

<file path=docProps/custom.xml><?xml version="1.0" encoding="utf-8"?>
<Properties xmlns="http://schemas.openxmlformats.org/officeDocument/2006/custom-properties" xmlns:vt="http://schemas.openxmlformats.org/officeDocument/2006/docPropsVTypes"/>
</file>