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8D454" w14:textId="77777777" w:rsidR="00786DAF" w:rsidRDefault="00786DAF" w:rsidP="002C22B9">
      <w:pPr>
        <w:jc w:val="center"/>
        <w:rPr>
          <w:sz w:val="20"/>
        </w:rPr>
      </w:pPr>
      <w:bookmarkStart w:id="0" w:name="_GoBack"/>
      <w:bookmarkEnd w:id="0"/>
    </w:p>
    <w:p w14:paraId="3F365EC7" w14:textId="77777777" w:rsidR="002C22B9" w:rsidRDefault="002C22B9" w:rsidP="002C22B9">
      <w:pPr>
        <w:jc w:val="center"/>
        <w:rPr>
          <w:sz w:val="20"/>
        </w:rPr>
      </w:pPr>
      <w:r w:rsidRPr="00914649">
        <w:rPr>
          <w:sz w:val="20"/>
        </w:rPr>
        <w:t>Rīgā</w:t>
      </w:r>
    </w:p>
    <w:p w14:paraId="23DED4FB"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693F64EC" w14:textId="77777777" w:rsidTr="009F77B9">
        <w:tc>
          <w:tcPr>
            <w:tcW w:w="450" w:type="dxa"/>
            <w:tcBorders>
              <w:top w:val="nil"/>
              <w:left w:val="nil"/>
              <w:bottom w:val="nil"/>
              <w:right w:val="nil"/>
            </w:tcBorders>
          </w:tcPr>
          <w:p w14:paraId="369D6F1C"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50BC5B6A" w14:textId="0AE579FA"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648B">
              <w:rPr>
                <w:szCs w:val="24"/>
              </w:rPr>
              <w:t>06.07.2021</w:t>
            </w:r>
            <w:r w:rsidRPr="00615936">
              <w:rPr>
                <w:szCs w:val="24"/>
              </w:rPr>
              <w:fldChar w:fldCharType="end"/>
            </w:r>
            <w:bookmarkEnd w:id="1"/>
          </w:p>
        </w:tc>
        <w:tc>
          <w:tcPr>
            <w:tcW w:w="708" w:type="dxa"/>
            <w:tcBorders>
              <w:top w:val="nil"/>
              <w:left w:val="nil"/>
              <w:bottom w:val="nil"/>
              <w:right w:val="nil"/>
            </w:tcBorders>
          </w:tcPr>
          <w:p w14:paraId="650BCDF8"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10E9827B" w14:textId="28F7D0C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00D95">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648B">
              <w:rPr>
                <w:szCs w:val="24"/>
              </w:rPr>
              <w:t>3841</w:t>
            </w:r>
            <w:r w:rsidRPr="00615936">
              <w:rPr>
                <w:szCs w:val="24"/>
              </w:rPr>
              <w:fldChar w:fldCharType="end"/>
            </w:r>
            <w:bookmarkEnd w:id="3"/>
          </w:p>
        </w:tc>
      </w:tr>
      <w:tr w:rsidR="002C22B9" w:rsidRPr="00615936" w14:paraId="784CF703" w14:textId="77777777" w:rsidTr="009F77B9">
        <w:trPr>
          <w:trHeight w:val="188"/>
        </w:trPr>
        <w:tc>
          <w:tcPr>
            <w:tcW w:w="450" w:type="dxa"/>
            <w:tcBorders>
              <w:top w:val="nil"/>
              <w:left w:val="nil"/>
              <w:bottom w:val="nil"/>
              <w:right w:val="nil"/>
            </w:tcBorders>
          </w:tcPr>
          <w:p w14:paraId="400FB370"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35639346"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4815B820"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4457959" w14:textId="77777777" w:rsidR="002C22B9" w:rsidRPr="00615936" w:rsidRDefault="002C22B9" w:rsidP="002C22B9">
            <w:pPr>
              <w:tabs>
                <w:tab w:val="left" w:pos="360"/>
                <w:tab w:val="left" w:pos="3960"/>
              </w:tabs>
              <w:rPr>
                <w:sz w:val="20"/>
              </w:rPr>
            </w:pPr>
          </w:p>
        </w:tc>
      </w:tr>
      <w:tr w:rsidR="002C22B9" w:rsidRPr="00615936" w14:paraId="24891085" w14:textId="77777777" w:rsidTr="009F77B9">
        <w:tc>
          <w:tcPr>
            <w:tcW w:w="450" w:type="dxa"/>
            <w:tcBorders>
              <w:top w:val="nil"/>
              <w:left w:val="nil"/>
              <w:bottom w:val="nil"/>
              <w:right w:val="nil"/>
            </w:tcBorders>
          </w:tcPr>
          <w:p w14:paraId="3BAD2A52"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7D3D6BEB" w14:textId="428E0BF0"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00D95">
              <w:rPr>
                <w:szCs w:val="24"/>
              </w:rPr>
              <w:t>17.06.2021</w:t>
            </w:r>
            <w:r w:rsidRPr="00615936">
              <w:rPr>
                <w:szCs w:val="24"/>
              </w:rPr>
              <w:fldChar w:fldCharType="end"/>
            </w:r>
            <w:bookmarkEnd w:id="4"/>
          </w:p>
        </w:tc>
        <w:tc>
          <w:tcPr>
            <w:tcW w:w="708" w:type="dxa"/>
            <w:tcBorders>
              <w:top w:val="nil"/>
              <w:left w:val="nil"/>
              <w:bottom w:val="nil"/>
              <w:right w:val="nil"/>
            </w:tcBorders>
          </w:tcPr>
          <w:p w14:paraId="3862184C"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264AF440" w14:textId="5BC32D9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00D95">
              <w:rPr>
                <w:szCs w:val="24"/>
              </w:rPr>
              <w:t>VSS-578, 24  4§</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2269DB9B" w14:textId="77777777" w:rsidTr="000C0DD4">
        <w:trPr>
          <w:jc w:val="right"/>
        </w:trPr>
        <w:tc>
          <w:tcPr>
            <w:tcW w:w="4644" w:type="dxa"/>
          </w:tcPr>
          <w:p w14:paraId="0B8551E2" w14:textId="77777777" w:rsidR="008F4FBC" w:rsidRDefault="008F4FBC" w:rsidP="000C0DD4">
            <w:pPr>
              <w:jc w:val="right"/>
              <w:rPr>
                <w:b/>
                <w:bCs/>
                <w:szCs w:val="24"/>
                <w:lang w:eastAsia="lv-LV"/>
              </w:rPr>
            </w:pPr>
            <w:bookmarkStart w:id="6" w:name="org_nos"/>
          </w:p>
          <w:p w14:paraId="394B8CEB" w14:textId="14A31090" w:rsidR="000C0DD4" w:rsidRDefault="00300D95" w:rsidP="000C0DD4">
            <w:pPr>
              <w:jc w:val="right"/>
              <w:rPr>
                <w:b/>
                <w:bCs/>
                <w:szCs w:val="24"/>
                <w:lang w:eastAsia="lv-LV"/>
              </w:rPr>
            </w:pPr>
            <w:r>
              <w:rPr>
                <w:b/>
                <w:bCs/>
                <w:szCs w:val="24"/>
                <w:lang w:eastAsia="lv-LV"/>
              </w:rPr>
              <w:t>Ekonomikas ministrija</w:t>
            </w:r>
            <w:r w:rsidR="008F4FBC">
              <w:rPr>
                <w:b/>
                <w:bCs/>
                <w:szCs w:val="24"/>
                <w:lang w:eastAsia="lv-LV"/>
              </w:rPr>
              <w:t>i</w:t>
            </w:r>
          </w:p>
        </w:tc>
      </w:tr>
      <w:bookmarkEnd w:id="6"/>
    </w:tbl>
    <w:p w14:paraId="521A80AE"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48056E01" w14:textId="77777777" w:rsidTr="000C0DD4">
        <w:tc>
          <w:tcPr>
            <w:tcW w:w="4503" w:type="dxa"/>
            <w:tcBorders>
              <w:top w:val="nil"/>
              <w:left w:val="nil"/>
              <w:bottom w:val="nil"/>
              <w:right w:val="nil"/>
            </w:tcBorders>
          </w:tcPr>
          <w:p w14:paraId="5DC775F7" w14:textId="303D7061" w:rsidR="000C0DD4" w:rsidRDefault="00300D95" w:rsidP="00C04DED">
            <w:pPr>
              <w:jc w:val="left"/>
              <w:rPr>
                <w:i/>
                <w:iCs/>
                <w:szCs w:val="24"/>
                <w:lang w:eastAsia="lv-LV"/>
              </w:rPr>
            </w:pPr>
            <w:r>
              <w:rPr>
                <w:i/>
                <w:iCs/>
                <w:szCs w:val="24"/>
                <w:lang w:eastAsia="lv-LV"/>
              </w:rPr>
              <w:t>Par Ministru kabineta noteikumu projektu "Grozījumi Ministru kabineta 2006. gada 25. aprīļa noteikumos Nr. 319 "Noteikumi par hidroelektrostaciju hidrotehnisko būvju valdītāja civiltiesiskās atbildības obligāto apdrošināšanu"" (VSS-578)</w:t>
            </w:r>
          </w:p>
        </w:tc>
      </w:tr>
    </w:tbl>
    <w:p w14:paraId="1359FE13" w14:textId="77777777" w:rsidR="00E04F00" w:rsidRPr="00615936" w:rsidRDefault="00E04F00" w:rsidP="00C04DED">
      <w:pPr>
        <w:jc w:val="left"/>
        <w:rPr>
          <w:szCs w:val="24"/>
        </w:rPr>
      </w:pPr>
    </w:p>
    <w:p w14:paraId="45DB75FE" w14:textId="6EFD5AC6" w:rsidR="00280640" w:rsidRPr="001424CF" w:rsidRDefault="00280640" w:rsidP="00280640">
      <w:pPr>
        <w:ind w:right="142" w:firstLine="720"/>
        <w:rPr>
          <w:szCs w:val="24"/>
        </w:rPr>
      </w:pPr>
      <w:r w:rsidRPr="001424CF">
        <w:rPr>
          <w:szCs w:val="24"/>
          <w:lang w:eastAsia="lv-LV"/>
        </w:rPr>
        <w:t>Finanšu ministrija atbilstoši kompetencei ir izskatījusi Valsts sekretāru 2021.gada 17.jūnija sanāksmē (prot. Nr.24 4.§) izsludināto Ekonomikas ministrijas izstrādāto Ministru kabineta noteikumu projektu "</w:t>
      </w:r>
      <w:r w:rsidRPr="001424CF">
        <w:rPr>
          <w:i/>
          <w:iCs/>
          <w:szCs w:val="24"/>
        </w:rPr>
        <w:t>Grozījumi Ministru kabineta 2006. gada 25. aprīļa noteikumos Nr. 319</w:t>
      </w:r>
      <w:r>
        <w:rPr>
          <w:i/>
          <w:iCs/>
          <w:szCs w:val="24"/>
        </w:rPr>
        <w:t xml:space="preserve"> </w:t>
      </w:r>
      <w:r w:rsidRPr="001424CF">
        <w:rPr>
          <w:i/>
          <w:iCs/>
          <w:szCs w:val="24"/>
        </w:rPr>
        <w:t>“Noteikumi par hidroelektrostaciju hidrotehnisko būvju valdītāja civiltiesiskās atbildības obligāto apdrošināšanu”</w:t>
      </w:r>
      <w:r w:rsidRPr="001424CF">
        <w:rPr>
          <w:i/>
          <w:iCs/>
          <w:szCs w:val="24"/>
          <w:lang w:eastAsia="lv-LV"/>
        </w:rPr>
        <w:t>"</w:t>
      </w:r>
      <w:r w:rsidRPr="001424CF">
        <w:rPr>
          <w:szCs w:val="24"/>
          <w:lang w:eastAsia="lv-LV"/>
        </w:rPr>
        <w:t xml:space="preserve"> (VSS-578) (turpmāk – noteikumu projekts), tā sākotnējās ietekmes novērtējuma ziņojumu (anotāciju) </w:t>
      </w:r>
      <w:r w:rsidRPr="001424CF">
        <w:rPr>
          <w:szCs w:val="24"/>
        </w:rPr>
        <w:t>un izsaka šādu iebildumu.</w:t>
      </w:r>
    </w:p>
    <w:p w14:paraId="0F4A6832" w14:textId="77777777" w:rsidR="00280640" w:rsidRPr="001424CF" w:rsidRDefault="00280640" w:rsidP="00280640">
      <w:pPr>
        <w:ind w:right="142" w:firstLine="720"/>
        <w:rPr>
          <w:bCs/>
          <w:szCs w:val="24"/>
        </w:rPr>
      </w:pPr>
      <w:r w:rsidRPr="001424CF">
        <w:rPr>
          <w:bCs/>
          <w:szCs w:val="24"/>
        </w:rPr>
        <w:t>Ministru kabineta 2006.gada 25.aprīļa noteikumu Nr.319 “Noteikumi par hidroelektrostaciju hidrotehnisko būvju valdītāja civiltiesiskās atbildības obligāto apdrošināšanu” (turpmāk - Noteikumi)</w:t>
      </w:r>
      <w:r w:rsidRPr="001424CF">
        <w:rPr>
          <w:szCs w:val="24"/>
        </w:rPr>
        <w:t xml:space="preserve"> 12.punkta pirmais teikums nosaka, ka apdrošināšanas atlīdzības apmērs tiek noteikts, pusēm vienojoties. Minētā punkta otrais teikums nosaka, ka gadījumā, ja puses nespēj vienoties, apdrošināšanas strīdu izšķir likumā "Par apdrošināšanas līgumu" noteiktajā kārtībā.</w:t>
      </w:r>
      <w:r w:rsidRPr="001424CF">
        <w:rPr>
          <w:bCs/>
          <w:szCs w:val="24"/>
        </w:rPr>
        <w:t xml:space="preserve"> </w:t>
      </w:r>
    </w:p>
    <w:p w14:paraId="348BEE40" w14:textId="77777777" w:rsidR="00280640" w:rsidRPr="001424CF" w:rsidRDefault="00280640" w:rsidP="00280640">
      <w:pPr>
        <w:ind w:right="142" w:firstLine="720"/>
        <w:rPr>
          <w:szCs w:val="24"/>
        </w:rPr>
      </w:pPr>
      <w:r w:rsidRPr="001424CF">
        <w:rPr>
          <w:szCs w:val="24"/>
        </w:rPr>
        <w:t xml:space="preserve">Vēršam uzmanību, ka Noteikumi neregulē trešo personu tiesības celt tiešu prasību pret apdrošinātāju gadījumos, kad apdrošinātājs trešās personas ieskatā prettiesīgi atsaka apdrošināšanas atlīdzības izmaksu vai nepamatoti zemu novērtē zaudējumu apmēru. Trešās personas tieša prasība pret apdrošinātāju tiek regulēta gan Briseles </w:t>
      </w:r>
      <w:proofErr w:type="spellStart"/>
      <w:r w:rsidRPr="001424CF">
        <w:rPr>
          <w:szCs w:val="24"/>
        </w:rPr>
        <w:t>Ibis</w:t>
      </w:r>
      <w:proofErr w:type="spellEnd"/>
      <w:r w:rsidRPr="001424CF">
        <w:rPr>
          <w:szCs w:val="24"/>
        </w:rPr>
        <w:t xml:space="preserve"> regulas 13.panta 2.punktā, gan arī Roma II regulas 18.pantā. Kā norādīts Roma II regulas komentāros, kuros skaidrots šīs regulas 18.pantā minētais jēdziens „tieša prasība”, tad </w:t>
      </w:r>
      <w:r w:rsidRPr="001424CF">
        <w:rPr>
          <w:i/>
          <w:iCs/>
          <w:szCs w:val="24"/>
        </w:rPr>
        <w:t xml:space="preserve">„Cietušās puses </w:t>
      </w:r>
      <w:proofErr w:type="spellStart"/>
      <w:r w:rsidRPr="001424CF">
        <w:rPr>
          <w:i/>
          <w:iCs/>
          <w:szCs w:val="24"/>
        </w:rPr>
        <w:t>ārpuslīgumiskā</w:t>
      </w:r>
      <w:proofErr w:type="spellEnd"/>
      <w:r w:rsidRPr="001424CF">
        <w:rPr>
          <w:i/>
          <w:iCs/>
          <w:szCs w:val="24"/>
        </w:rPr>
        <w:t xml:space="preserve"> prasība par zaudējumu atlīdzību vispārīgi ir jānošķir no personas, kura atbildīga par kaitējumu, līgumiskās tiesības pieprasīt atlīdzību no apdrošinātāja („nošķiršanas princips”). Principā cietušajai pusei ir tiesības celt prasību pret personu, kas atbildīga par kaitējumu, bet ne pret attiecīgo civiltiesiskās atbildības apdrošinātāju. Šī atšķirība starp cietušās puses prasību un personas, kas atbildīga par kaitējumu, apdrošināšanas prasību tiek pārtraukta, ja likumi cietušajām pusēm piešķir tiešu prasību pret civiltiesiskās atbildības apdrošinātāju. Šādos gadījumos cietusī puse var tieši vērst prasību pret personas, kura atbildīga par kaitējumu, apdrošinātāju.”</w:t>
      </w:r>
      <w:r w:rsidRPr="001424CF">
        <w:rPr>
          <w:szCs w:val="24"/>
        </w:rPr>
        <w:t xml:space="preserve"> (sk. Magnus U., </w:t>
      </w:r>
      <w:proofErr w:type="spellStart"/>
      <w:r w:rsidRPr="001424CF">
        <w:rPr>
          <w:szCs w:val="24"/>
        </w:rPr>
        <w:t>Mankowski</w:t>
      </w:r>
      <w:proofErr w:type="spellEnd"/>
      <w:r w:rsidRPr="001424CF">
        <w:rPr>
          <w:szCs w:val="24"/>
        </w:rPr>
        <w:t xml:space="preserve"> P. </w:t>
      </w:r>
      <w:proofErr w:type="spellStart"/>
      <w:r w:rsidRPr="001424CF">
        <w:rPr>
          <w:szCs w:val="24"/>
        </w:rPr>
        <w:t>European</w:t>
      </w:r>
      <w:proofErr w:type="spellEnd"/>
      <w:r w:rsidRPr="001424CF">
        <w:rPr>
          <w:szCs w:val="24"/>
        </w:rPr>
        <w:t xml:space="preserve"> </w:t>
      </w:r>
      <w:proofErr w:type="spellStart"/>
      <w:r w:rsidRPr="001424CF">
        <w:rPr>
          <w:szCs w:val="24"/>
        </w:rPr>
        <w:t>Commentaries</w:t>
      </w:r>
      <w:proofErr w:type="spellEnd"/>
      <w:r w:rsidRPr="001424CF">
        <w:rPr>
          <w:szCs w:val="24"/>
        </w:rPr>
        <w:t xml:space="preserve"> </w:t>
      </w:r>
      <w:proofErr w:type="spellStart"/>
      <w:r w:rsidRPr="001424CF">
        <w:rPr>
          <w:szCs w:val="24"/>
        </w:rPr>
        <w:t>on</w:t>
      </w:r>
      <w:proofErr w:type="spellEnd"/>
      <w:r w:rsidRPr="001424CF">
        <w:rPr>
          <w:szCs w:val="24"/>
        </w:rPr>
        <w:t xml:space="preserve"> </w:t>
      </w:r>
      <w:proofErr w:type="spellStart"/>
      <w:r w:rsidRPr="001424CF">
        <w:rPr>
          <w:szCs w:val="24"/>
        </w:rPr>
        <w:t>Private</w:t>
      </w:r>
      <w:proofErr w:type="spellEnd"/>
      <w:r w:rsidRPr="001424CF">
        <w:rPr>
          <w:szCs w:val="24"/>
        </w:rPr>
        <w:t xml:space="preserve"> </w:t>
      </w:r>
      <w:proofErr w:type="spellStart"/>
      <w:r w:rsidRPr="001424CF">
        <w:rPr>
          <w:szCs w:val="24"/>
        </w:rPr>
        <w:t>International</w:t>
      </w:r>
      <w:proofErr w:type="spellEnd"/>
      <w:r w:rsidRPr="001424CF">
        <w:rPr>
          <w:szCs w:val="24"/>
        </w:rPr>
        <w:t xml:space="preserve"> </w:t>
      </w:r>
      <w:proofErr w:type="spellStart"/>
      <w:r w:rsidRPr="001424CF">
        <w:rPr>
          <w:szCs w:val="24"/>
        </w:rPr>
        <w:lastRenderedPageBreak/>
        <w:t>Law</w:t>
      </w:r>
      <w:proofErr w:type="spellEnd"/>
      <w:r w:rsidRPr="001424CF">
        <w:rPr>
          <w:szCs w:val="24"/>
        </w:rPr>
        <w:t xml:space="preserve"> EPCIL. </w:t>
      </w:r>
      <w:proofErr w:type="spellStart"/>
      <w:r w:rsidRPr="001424CF">
        <w:rPr>
          <w:szCs w:val="24"/>
        </w:rPr>
        <w:t>Commentary</w:t>
      </w:r>
      <w:proofErr w:type="spellEnd"/>
      <w:r w:rsidRPr="001424CF">
        <w:rPr>
          <w:szCs w:val="24"/>
        </w:rPr>
        <w:t xml:space="preserve">. </w:t>
      </w:r>
      <w:proofErr w:type="spellStart"/>
      <w:r w:rsidRPr="001424CF">
        <w:rPr>
          <w:szCs w:val="24"/>
        </w:rPr>
        <w:t>Volume</w:t>
      </w:r>
      <w:proofErr w:type="spellEnd"/>
      <w:r w:rsidRPr="001424CF">
        <w:rPr>
          <w:szCs w:val="24"/>
        </w:rPr>
        <w:t xml:space="preserve"> III. </w:t>
      </w:r>
      <w:proofErr w:type="spellStart"/>
      <w:r w:rsidRPr="001424CF">
        <w:rPr>
          <w:szCs w:val="24"/>
        </w:rPr>
        <w:t>Rome</w:t>
      </w:r>
      <w:proofErr w:type="spellEnd"/>
      <w:r w:rsidRPr="001424CF">
        <w:rPr>
          <w:szCs w:val="24"/>
        </w:rPr>
        <w:t xml:space="preserve"> II </w:t>
      </w:r>
      <w:proofErr w:type="spellStart"/>
      <w:r w:rsidRPr="001424CF">
        <w:rPr>
          <w:szCs w:val="24"/>
        </w:rPr>
        <w:t>Regulation</w:t>
      </w:r>
      <w:proofErr w:type="spellEnd"/>
      <w:r w:rsidRPr="001424CF">
        <w:rPr>
          <w:szCs w:val="24"/>
        </w:rPr>
        <w:t xml:space="preserve">. </w:t>
      </w:r>
      <w:proofErr w:type="spellStart"/>
      <w:r w:rsidRPr="001424CF">
        <w:rPr>
          <w:szCs w:val="24"/>
        </w:rPr>
        <w:t>K</w:t>
      </w:r>
      <w:r w:rsidRPr="001424CF">
        <w:rPr>
          <w:szCs w:val="24"/>
          <w:shd w:val="clear" w:color="auto" w:fill="FFFFFF"/>
        </w:rPr>
        <w:t>ö</w:t>
      </w:r>
      <w:r w:rsidRPr="001424CF">
        <w:rPr>
          <w:szCs w:val="24"/>
        </w:rPr>
        <w:t>ln</w:t>
      </w:r>
      <w:proofErr w:type="spellEnd"/>
      <w:r w:rsidRPr="001424CF">
        <w:rPr>
          <w:szCs w:val="24"/>
        </w:rPr>
        <w:t xml:space="preserve">: </w:t>
      </w:r>
      <w:proofErr w:type="spellStart"/>
      <w:r w:rsidRPr="001424CF">
        <w:rPr>
          <w:szCs w:val="24"/>
        </w:rPr>
        <w:t>sellier</w:t>
      </w:r>
      <w:proofErr w:type="spellEnd"/>
      <w:r w:rsidRPr="001424CF">
        <w:rPr>
          <w:szCs w:val="24"/>
        </w:rPr>
        <w:t xml:space="preserve"> </w:t>
      </w:r>
      <w:proofErr w:type="spellStart"/>
      <w:r w:rsidRPr="001424CF">
        <w:rPr>
          <w:szCs w:val="24"/>
        </w:rPr>
        <w:t>european</w:t>
      </w:r>
      <w:proofErr w:type="spellEnd"/>
      <w:r w:rsidRPr="001424CF">
        <w:rPr>
          <w:szCs w:val="24"/>
        </w:rPr>
        <w:t xml:space="preserve"> </w:t>
      </w:r>
      <w:proofErr w:type="spellStart"/>
      <w:r w:rsidRPr="001424CF">
        <w:rPr>
          <w:szCs w:val="24"/>
        </w:rPr>
        <w:t>publishers</w:t>
      </w:r>
      <w:proofErr w:type="spellEnd"/>
      <w:r w:rsidRPr="001424CF">
        <w:rPr>
          <w:szCs w:val="24"/>
        </w:rPr>
        <w:t>, 2019, p. 585).</w:t>
      </w:r>
    </w:p>
    <w:p w14:paraId="773FEDE8" w14:textId="77777777" w:rsidR="00280640" w:rsidRPr="001424CF" w:rsidRDefault="00280640" w:rsidP="00280640">
      <w:pPr>
        <w:ind w:right="142" w:firstLine="720"/>
        <w:rPr>
          <w:szCs w:val="24"/>
        </w:rPr>
      </w:pPr>
      <w:r w:rsidRPr="001424CF">
        <w:rPr>
          <w:szCs w:val="24"/>
        </w:rPr>
        <w:t xml:space="preserve">Latvijas normatīvajos aktos trešo personu tiešas prasības celšana ir vispārīgi regulēta Apdrošināšanas līguma likuma 53.pantā, kas noteic, ka </w:t>
      </w:r>
      <w:r w:rsidRPr="001424CF">
        <w:rPr>
          <w:i/>
          <w:iCs/>
          <w:szCs w:val="24"/>
        </w:rPr>
        <w:t>“</w:t>
      </w:r>
      <w:proofErr w:type="spellStart"/>
      <w:r w:rsidRPr="001424CF">
        <w:rPr>
          <w:i/>
          <w:iCs/>
          <w:szCs w:val="24"/>
          <w:shd w:val="clear" w:color="auto" w:fill="FFFFFF"/>
        </w:rPr>
        <w:t>Trešai</w:t>
      </w:r>
      <w:proofErr w:type="spellEnd"/>
      <w:r w:rsidRPr="001424CF">
        <w:rPr>
          <w:i/>
          <w:iCs/>
          <w:szCs w:val="24"/>
          <w:shd w:val="clear" w:color="auto" w:fill="FFFFFF"/>
        </w:rPr>
        <w:t xml:space="preserve"> personai ir tiesības celt prasību tieši pret apdrošinātāju tikai tad, ja šādas tiesības šai personai ir īpaši paredzētas normatīvajos aktos”</w:t>
      </w:r>
      <w:r w:rsidRPr="001424CF">
        <w:rPr>
          <w:szCs w:val="24"/>
          <w:shd w:val="clear" w:color="auto" w:fill="FFFFFF"/>
        </w:rPr>
        <w:t>. Minētā norma ir veidota kā atsauces norma, kas pati neregulē trešo personu tiešo prasību celšanu pret apdrošinātāju, bet gan satur vispārīgu norādi, ka šādas tiesības tiek regulētas citos normatīvajos aktos.</w:t>
      </w:r>
    </w:p>
    <w:p w14:paraId="6A96C342" w14:textId="77777777" w:rsidR="00280640" w:rsidRDefault="00280640" w:rsidP="00280640">
      <w:pPr>
        <w:ind w:right="142" w:firstLine="720"/>
        <w:rPr>
          <w:szCs w:val="24"/>
        </w:rPr>
      </w:pPr>
      <w:r w:rsidRPr="001424CF">
        <w:rPr>
          <w:szCs w:val="24"/>
        </w:rPr>
        <w:t xml:space="preserve">Latvijā vienīgais civiltiesiskās atbildības obligātās apdrošināšanas veids, kurā šobrīd ir paredzētas trešās personas tiesības celt prasību tieši pret apdrošinātāju, ir sauszemes transportlīdzekļu īpašnieku civiltiesiskās atbildības obligātā apdrošināšana. Sauszemes transportlīdzekļu īpašnieku civiltiesiskās atbildības obligātās apdrošināšanas likuma (turpmāk - OCTA likums) 39.panta sestā daļa noteic, ka </w:t>
      </w:r>
      <w:r w:rsidRPr="001424CF">
        <w:rPr>
          <w:i/>
          <w:iCs/>
          <w:szCs w:val="24"/>
        </w:rPr>
        <w:t>“</w:t>
      </w:r>
      <w:r w:rsidRPr="001424CF">
        <w:rPr>
          <w:i/>
          <w:iCs/>
          <w:szCs w:val="24"/>
          <w:shd w:val="clear" w:color="auto" w:fill="FFFFFF"/>
        </w:rPr>
        <w:t>Trešā persona lēmumu par apdrošināšanas atlīdzības izmaksu vai atteikumu var pārsūdzēt tiesā triju gadu laikā pēc tā pieņemšanas [..]”</w:t>
      </w:r>
      <w:r w:rsidRPr="001424CF">
        <w:rPr>
          <w:szCs w:val="24"/>
        </w:rPr>
        <w:t xml:space="preserve">. Lai gan OCTA likuma 39.panta sestajā daļā lietotā terminoloģija “pārsūdzēt” nav uzskatāma par īpaši veiksmīgu, jo pēc būtības trešā persona nevis īsteno pārsūdzības tiesību, bet gan īsteno savu tiesību aizsardzību ceļot prasību tiesā, iesniedzot prasības pieteikumu, OCTA likuma 39.panta sestā daļa kopumā efektīvi nodrošina trešajām personām pieeju tiesai. </w:t>
      </w:r>
    </w:p>
    <w:p w14:paraId="34CD9D0F" w14:textId="77777777" w:rsidR="00280640" w:rsidRDefault="00280640" w:rsidP="00280640">
      <w:pPr>
        <w:ind w:right="142" w:firstLine="720"/>
        <w:rPr>
          <w:szCs w:val="24"/>
        </w:rPr>
      </w:pPr>
      <w:r w:rsidRPr="001424CF">
        <w:rPr>
          <w:szCs w:val="24"/>
        </w:rPr>
        <w:t xml:space="preserve">Satversmes tiesa </w:t>
      </w:r>
      <w:r w:rsidRPr="001424CF">
        <w:rPr>
          <w:szCs w:val="24"/>
          <w:shd w:val="clear" w:color="auto" w:fill="FFFFFF"/>
        </w:rPr>
        <w:t>2020.gada 30.decembra lēmumā lietā Nr. </w:t>
      </w:r>
      <w:r w:rsidRPr="001424CF">
        <w:rPr>
          <w:szCs w:val="24"/>
        </w:rPr>
        <w:t xml:space="preserve">2020-08-01 secinājusi, ka </w:t>
      </w:r>
      <w:r w:rsidRPr="001424CF">
        <w:rPr>
          <w:i/>
          <w:iCs/>
          <w:szCs w:val="24"/>
        </w:rPr>
        <w:t xml:space="preserve">“Atbilstoši Satversmes 92.panta pirmajam teikumam valstij ir pienākums noteikt tādu tiesas procesu, kas ļautu ikvienai personai, kuras tiesības vai likumiskās intereses ir prettiesiski aizskartas vai pārkāptas, panākt savu tiesību un likumisko interešu efektīvu aizsardzību. [..] Satversmes 92. panta pirmais teikums negarantē personai tiesības uz jebkura tai svarīga jautājuma izlemšanu tiesā. Tomēr valstij ir jānodrošina efektīva aizsardzība ikvienai personai, kuras tiesības vai likumiskās intereses ir aizskartas.” </w:t>
      </w:r>
      <w:r w:rsidRPr="001424CF">
        <w:rPr>
          <w:szCs w:val="24"/>
        </w:rPr>
        <w:t>Neparedzot Noteikumos trešajām personām tiesības celt tiešu prasību pret apdrošinātāju, netiek nodrošināta efektīva trešo personu tiesību aizsardzība.</w:t>
      </w:r>
    </w:p>
    <w:p w14:paraId="4F0F195F" w14:textId="77777777" w:rsidR="00280640" w:rsidRDefault="00280640" w:rsidP="00280640">
      <w:pPr>
        <w:ind w:right="142" w:firstLine="720"/>
        <w:rPr>
          <w:szCs w:val="24"/>
        </w:rPr>
      </w:pPr>
      <w:r w:rsidRPr="001424CF">
        <w:rPr>
          <w:szCs w:val="24"/>
        </w:rPr>
        <w:t xml:space="preserve">Vēršam uzmanību, ka gan Lietuvā, gan arī Igaunijā trešajām personām šobrīd ir tiesības celt tiešu prasību pret apdrošinātāju visos gadījumos, kad ir veikta obligātā civiltiesiskā apdrošināšana. </w:t>
      </w:r>
      <w:r w:rsidRPr="001424CF">
        <w:rPr>
          <w:bCs/>
          <w:szCs w:val="24"/>
        </w:rPr>
        <w:t xml:space="preserve">Lietuvā </w:t>
      </w:r>
      <w:r w:rsidRPr="001424CF">
        <w:rPr>
          <w:szCs w:val="24"/>
        </w:rPr>
        <w:t xml:space="preserve">likuma „Par apdrošināšanu” 111.pants, kas regulē tiešas prasības celšanu, paredz, ka cietušajai trešajai personai ir tiesības tieši pieprasīt izmaksāt apdrošināšanas atlīdzību apdrošinātājam, kas ir apdrošinājis par kaitējumu atbildīgās personas civiltiesisko apdrošināšanu. Savukārt </w:t>
      </w:r>
      <w:r w:rsidRPr="001424CF">
        <w:rPr>
          <w:bCs/>
          <w:iCs/>
          <w:szCs w:val="24"/>
          <w:lang w:eastAsia="lv-LV"/>
        </w:rPr>
        <w:t>Igaunijā</w:t>
      </w:r>
      <w:r w:rsidRPr="001424CF">
        <w:rPr>
          <w:b/>
          <w:iCs/>
          <w:szCs w:val="24"/>
          <w:lang w:eastAsia="lv-LV"/>
        </w:rPr>
        <w:t xml:space="preserve"> </w:t>
      </w:r>
      <w:r w:rsidRPr="001424CF">
        <w:rPr>
          <w:szCs w:val="24"/>
        </w:rPr>
        <w:t>Saistību tiesību likuma 521.panta pirmā daļa, kas regulē cietušās personas prasības celšanu civiltiesiskās atbildības obligātās apdrošināšanas gadījumā, noteic, ka cietusī persona var prasīt kaitējuma, kuru izraisījis apdrošinājuma ņēmējs (apdrošinātais), atlīdzināšanu no abiem – apdrošinājuma ņēmēja (apdrošinātā) un/vai apdrošinātāja. Līdzīga pieeja ir nostiprināta daudzu citu Eiropas valstu likumos, piemēram, Francijā,</w:t>
      </w:r>
      <w:r w:rsidRPr="001424CF">
        <w:rPr>
          <w:rStyle w:val="FootnoteReference"/>
          <w:szCs w:val="24"/>
        </w:rPr>
        <w:footnoteReference w:id="1"/>
      </w:r>
      <w:r w:rsidRPr="001424CF">
        <w:rPr>
          <w:szCs w:val="24"/>
        </w:rPr>
        <w:t xml:space="preserve"> Spānijā,</w:t>
      </w:r>
      <w:r w:rsidRPr="001424CF">
        <w:rPr>
          <w:rStyle w:val="FootnoteReference"/>
          <w:szCs w:val="24"/>
        </w:rPr>
        <w:footnoteReference w:id="2"/>
      </w:r>
      <w:r w:rsidRPr="001424CF">
        <w:rPr>
          <w:szCs w:val="24"/>
        </w:rPr>
        <w:t xml:space="preserve"> Grieķijā</w:t>
      </w:r>
      <w:r w:rsidRPr="001424CF">
        <w:rPr>
          <w:rStyle w:val="FootnoteReference"/>
          <w:szCs w:val="24"/>
        </w:rPr>
        <w:footnoteReference w:id="3"/>
      </w:r>
      <w:r w:rsidRPr="001424CF">
        <w:rPr>
          <w:szCs w:val="24"/>
        </w:rPr>
        <w:t xml:space="preserve"> un </w:t>
      </w:r>
      <w:r w:rsidRPr="001424CF">
        <w:rPr>
          <w:szCs w:val="24"/>
        </w:rPr>
        <w:lastRenderedPageBreak/>
        <w:t>Vācijā,</w:t>
      </w:r>
      <w:r w:rsidRPr="001424CF">
        <w:rPr>
          <w:rStyle w:val="FootnoteReference"/>
          <w:szCs w:val="24"/>
        </w:rPr>
        <w:footnoteReference w:id="4"/>
      </w:r>
      <w:r w:rsidRPr="001424CF">
        <w:rPr>
          <w:szCs w:val="24"/>
        </w:rPr>
        <w:t xml:space="preserve"> un tā atbilst </w:t>
      </w:r>
      <w:r w:rsidRPr="001424CF">
        <w:rPr>
          <w:bCs/>
          <w:iCs/>
          <w:szCs w:val="24"/>
          <w:lang w:eastAsia="lv-LV"/>
        </w:rPr>
        <w:t xml:space="preserve">Eiropas apdrošināšanas līgumu tiesību principu </w:t>
      </w:r>
      <w:r w:rsidRPr="001424CF">
        <w:rPr>
          <w:iCs/>
          <w:szCs w:val="24"/>
          <w:lang w:eastAsia="lv-LV"/>
        </w:rPr>
        <w:t>15:101 panta a) apakšpunktam, kas noteic, ka tādā apmērā, kādā apdrošinājuma ņēmējs (apdrošinātais), atkarībā no lietas apstākļiem, ir atbildīgs, cietušajai personai ir tiešas prasības tiesības uz atlīdzinājumu pret apdrošinātāju saskaņā ar apdrošināšanas līgumu, ja apdrošināšana ir obligāta.</w:t>
      </w:r>
      <w:r w:rsidRPr="001424CF">
        <w:rPr>
          <w:rStyle w:val="FootnoteReference"/>
          <w:iCs/>
          <w:szCs w:val="24"/>
          <w:lang w:eastAsia="lv-LV"/>
        </w:rPr>
        <w:footnoteReference w:id="5"/>
      </w:r>
    </w:p>
    <w:p w14:paraId="114D31F3" w14:textId="3D0DF210" w:rsidR="00280640" w:rsidRPr="001424CF" w:rsidRDefault="00280640" w:rsidP="00280640">
      <w:pPr>
        <w:ind w:right="142" w:firstLine="720"/>
        <w:rPr>
          <w:szCs w:val="24"/>
        </w:rPr>
      </w:pPr>
      <w:r w:rsidRPr="001424CF">
        <w:rPr>
          <w:iCs/>
          <w:szCs w:val="24"/>
          <w:lang w:eastAsia="lv-LV"/>
        </w:rPr>
        <w:t xml:space="preserve">Ņemot vērā minēto, </w:t>
      </w:r>
      <w:r>
        <w:rPr>
          <w:iCs/>
          <w:szCs w:val="24"/>
          <w:lang w:eastAsia="lv-LV"/>
        </w:rPr>
        <w:t>lūdzam</w:t>
      </w:r>
      <w:r w:rsidRPr="001424CF">
        <w:rPr>
          <w:iCs/>
          <w:szCs w:val="24"/>
          <w:lang w:eastAsia="lv-LV"/>
        </w:rPr>
        <w:t xml:space="preserve"> precizēt </w:t>
      </w:r>
      <w:r>
        <w:rPr>
          <w:iCs/>
          <w:szCs w:val="24"/>
          <w:lang w:eastAsia="lv-LV"/>
        </w:rPr>
        <w:t>n</w:t>
      </w:r>
      <w:r w:rsidRPr="001424CF">
        <w:rPr>
          <w:iCs/>
          <w:szCs w:val="24"/>
          <w:lang w:eastAsia="lv-LV"/>
        </w:rPr>
        <w:t>oteikumu projekta 1.3.apakšpunktu un papildināt ar regulējumu par trešo personu tiesībām celt tiešu prasību pret apdrošinātāju par apdrošināšanas atlīdzības piedziņu.</w:t>
      </w:r>
    </w:p>
    <w:p w14:paraId="5981E1FC" w14:textId="77777777" w:rsidR="00280640" w:rsidRPr="000C2007" w:rsidRDefault="00280640" w:rsidP="00280640">
      <w:pPr>
        <w:ind w:right="142"/>
        <w:rPr>
          <w:szCs w:val="24"/>
        </w:rPr>
      </w:pPr>
    </w:p>
    <w:p w14:paraId="66C76EEA" w14:textId="77777777" w:rsidR="00280640" w:rsidRPr="000C2007" w:rsidRDefault="00280640" w:rsidP="00280640">
      <w:pPr>
        <w:ind w:right="142"/>
        <w:rPr>
          <w:szCs w:val="24"/>
        </w:rPr>
      </w:pPr>
      <w:r w:rsidRPr="000C2007">
        <w:rPr>
          <w:szCs w:val="24"/>
        </w:rPr>
        <w:tab/>
        <w:t>Vienlaikus izsakām šādus priekšlikumus.</w:t>
      </w:r>
    </w:p>
    <w:p w14:paraId="0BF6F634" w14:textId="77777777" w:rsidR="00280640" w:rsidRPr="006D5A82" w:rsidRDefault="00280640" w:rsidP="00280640">
      <w:pPr>
        <w:pStyle w:val="ListParagraph"/>
        <w:numPr>
          <w:ilvl w:val="0"/>
          <w:numId w:val="1"/>
        </w:numPr>
        <w:spacing w:after="0" w:line="240" w:lineRule="auto"/>
        <w:ind w:left="0" w:right="142" w:firstLine="720"/>
        <w:jc w:val="both"/>
        <w:rPr>
          <w:rFonts w:ascii="Times New Roman" w:hAnsi="Times New Roman"/>
          <w:sz w:val="24"/>
          <w:szCs w:val="24"/>
          <w:lang w:val="lv-LV"/>
        </w:rPr>
      </w:pPr>
      <w:r w:rsidRPr="006D5A82">
        <w:rPr>
          <w:rFonts w:ascii="Times New Roman" w:hAnsi="Times New Roman"/>
          <w:sz w:val="24"/>
          <w:szCs w:val="24"/>
          <w:lang w:val="lv-LV"/>
        </w:rPr>
        <w:t>Lūdzam precizēt noteikumu projekta 1.3.apakšpunktu atbilstoši juridiskās tehnikas prasībām, izsakot to šādā redakcijā:</w:t>
      </w:r>
    </w:p>
    <w:p w14:paraId="1C4FF1A6" w14:textId="5B0C126C" w:rsidR="00280640" w:rsidRPr="000C2007" w:rsidRDefault="00280640" w:rsidP="00280640">
      <w:pPr>
        <w:ind w:right="142" w:firstLine="720"/>
        <w:rPr>
          <w:szCs w:val="24"/>
        </w:rPr>
      </w:pPr>
      <w:r w:rsidRPr="000C2007">
        <w:rPr>
          <w:szCs w:val="24"/>
        </w:rPr>
        <w:t xml:space="preserve">“1.3. Aizstāt 12. punktā vārdus “likumā “Par apdrošināšanas līgumu”” ar vārdiem “Apdrošināšanas līguma likumā”.” </w:t>
      </w:r>
    </w:p>
    <w:p w14:paraId="41F62F18" w14:textId="78892237" w:rsidR="00280640" w:rsidRPr="000C2007" w:rsidRDefault="00280640" w:rsidP="00280640">
      <w:pPr>
        <w:pStyle w:val="ListParagraph"/>
        <w:numPr>
          <w:ilvl w:val="0"/>
          <w:numId w:val="1"/>
        </w:numPr>
        <w:spacing w:after="0" w:line="240" w:lineRule="auto"/>
        <w:ind w:left="0" w:right="142" w:firstLine="720"/>
        <w:jc w:val="both"/>
        <w:rPr>
          <w:rFonts w:ascii="Times New Roman" w:hAnsi="Times New Roman"/>
          <w:sz w:val="24"/>
          <w:szCs w:val="24"/>
        </w:rPr>
      </w:pPr>
      <w:r w:rsidRPr="006D5A82">
        <w:rPr>
          <w:rFonts w:ascii="Times New Roman" w:hAnsi="Times New Roman"/>
          <w:sz w:val="24"/>
          <w:szCs w:val="24"/>
          <w:lang w:val="lv-LV"/>
        </w:rPr>
        <w:t xml:space="preserve">Lūdzam papildināt anotācijas I sadaļas 2.punktu ar pamatojumu, kāpēc nepieciešami noteikumu projekta 1.1., 1.2.  </w:t>
      </w:r>
      <w:r w:rsidRPr="000C2007">
        <w:rPr>
          <w:rFonts w:ascii="Times New Roman" w:hAnsi="Times New Roman"/>
          <w:sz w:val="24"/>
          <w:szCs w:val="24"/>
        </w:rPr>
        <w:t>un 1.</w:t>
      </w:r>
      <w:proofErr w:type="gramStart"/>
      <w:r w:rsidRPr="000C2007">
        <w:rPr>
          <w:rFonts w:ascii="Times New Roman" w:hAnsi="Times New Roman"/>
          <w:sz w:val="24"/>
          <w:szCs w:val="24"/>
        </w:rPr>
        <w:t>5.apakšpunktā</w:t>
      </w:r>
      <w:proofErr w:type="gramEnd"/>
      <w:r w:rsidRPr="000C2007">
        <w:rPr>
          <w:rFonts w:ascii="Times New Roman" w:hAnsi="Times New Roman"/>
          <w:sz w:val="24"/>
          <w:szCs w:val="24"/>
        </w:rPr>
        <w:t xml:space="preserve"> </w:t>
      </w:r>
      <w:proofErr w:type="spellStart"/>
      <w:r w:rsidRPr="000C2007">
        <w:rPr>
          <w:rFonts w:ascii="Times New Roman" w:hAnsi="Times New Roman"/>
          <w:sz w:val="24"/>
          <w:szCs w:val="24"/>
        </w:rPr>
        <w:t>piedāvātie</w:t>
      </w:r>
      <w:proofErr w:type="spellEnd"/>
      <w:r w:rsidRPr="000C2007">
        <w:rPr>
          <w:rFonts w:ascii="Times New Roman" w:hAnsi="Times New Roman"/>
          <w:sz w:val="24"/>
          <w:szCs w:val="24"/>
        </w:rPr>
        <w:t xml:space="preserve"> </w:t>
      </w:r>
      <w:proofErr w:type="spellStart"/>
      <w:r w:rsidRPr="000C2007">
        <w:rPr>
          <w:rFonts w:ascii="Times New Roman" w:hAnsi="Times New Roman"/>
          <w:sz w:val="24"/>
          <w:szCs w:val="24"/>
        </w:rPr>
        <w:t>grozījumi</w:t>
      </w:r>
      <w:proofErr w:type="spellEnd"/>
      <w:r w:rsidRPr="000C2007">
        <w:rPr>
          <w:rFonts w:ascii="Times New Roman" w:hAnsi="Times New Roman"/>
          <w:sz w:val="24"/>
          <w:szCs w:val="24"/>
        </w:rPr>
        <w:t xml:space="preserve">. </w:t>
      </w:r>
    </w:p>
    <w:p w14:paraId="4566ABB8" w14:textId="77777777" w:rsidR="00557B49" w:rsidRPr="00615936" w:rsidRDefault="00557B49" w:rsidP="007F3771">
      <w:pPr>
        <w:rPr>
          <w:szCs w:val="24"/>
        </w:rPr>
      </w:pPr>
    </w:p>
    <w:p w14:paraId="0ED69A39"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4AF2F727" w14:textId="77777777" w:rsidTr="00AA6DC1">
        <w:tc>
          <w:tcPr>
            <w:tcW w:w="4395" w:type="dxa"/>
          </w:tcPr>
          <w:p w14:paraId="2CAA0AD7" w14:textId="77777777" w:rsidR="00AA6DC1" w:rsidRDefault="00300D95" w:rsidP="007F3771">
            <w:pPr>
              <w:rPr>
                <w:szCs w:val="24"/>
              </w:rPr>
            </w:pPr>
            <w:r>
              <w:rPr>
                <w:szCs w:val="24"/>
              </w:rPr>
              <w:t>Administrācijas vadītāja</w:t>
            </w:r>
            <w:r w:rsidR="008F4FBC">
              <w:rPr>
                <w:szCs w:val="24"/>
              </w:rPr>
              <w:t xml:space="preserve">s </w:t>
            </w:r>
            <w:proofErr w:type="spellStart"/>
            <w:r w:rsidR="008F4FBC">
              <w:rPr>
                <w:szCs w:val="24"/>
              </w:rPr>
              <w:t>p.i</w:t>
            </w:r>
            <w:proofErr w:type="spellEnd"/>
            <w:r w:rsidR="008F4FBC">
              <w:rPr>
                <w:szCs w:val="24"/>
              </w:rPr>
              <w:t>.</w:t>
            </w:r>
          </w:p>
          <w:p w14:paraId="12BF1FC8" w14:textId="77777777" w:rsidR="008F4FBC" w:rsidRDefault="008F4FBC" w:rsidP="007F3771">
            <w:pPr>
              <w:rPr>
                <w:szCs w:val="24"/>
              </w:rPr>
            </w:pPr>
            <w:r>
              <w:rPr>
                <w:szCs w:val="24"/>
              </w:rPr>
              <w:t>Finanšu un darbības nodrošinājuma</w:t>
            </w:r>
          </w:p>
          <w:p w14:paraId="59E73128" w14:textId="5CBAFEAF" w:rsidR="008F4FBC" w:rsidRPr="00615936" w:rsidRDefault="008F4FBC" w:rsidP="007F3771">
            <w:pPr>
              <w:rPr>
                <w:szCs w:val="24"/>
              </w:rPr>
            </w:pPr>
            <w:r>
              <w:rPr>
                <w:szCs w:val="24"/>
              </w:rPr>
              <w:t>departamenta direktore</w:t>
            </w:r>
          </w:p>
        </w:tc>
        <w:tc>
          <w:tcPr>
            <w:tcW w:w="1984" w:type="dxa"/>
          </w:tcPr>
          <w:p w14:paraId="235E2A58" w14:textId="77777777" w:rsidR="008F4FBC" w:rsidRDefault="008F4FBC" w:rsidP="00AA6DC1">
            <w:pPr>
              <w:jc w:val="center"/>
              <w:rPr>
                <w:szCs w:val="24"/>
              </w:rPr>
            </w:pPr>
            <w:bookmarkStart w:id="7" w:name="edoc_info2"/>
          </w:p>
          <w:p w14:paraId="70A5F8D8" w14:textId="77777777" w:rsidR="008F4FBC" w:rsidRDefault="008F4FBC" w:rsidP="00AA6DC1">
            <w:pPr>
              <w:jc w:val="center"/>
              <w:rPr>
                <w:szCs w:val="24"/>
              </w:rPr>
            </w:pPr>
          </w:p>
          <w:p w14:paraId="1555AB11" w14:textId="6E8B4A15" w:rsidR="00AA6DC1" w:rsidRDefault="00AA6DC1" w:rsidP="00AA6DC1">
            <w:pPr>
              <w:jc w:val="center"/>
              <w:rPr>
                <w:szCs w:val="24"/>
              </w:rPr>
            </w:pPr>
            <w:r>
              <w:rPr>
                <w:szCs w:val="24"/>
              </w:rPr>
              <w:t>(paraksts*)</w:t>
            </w:r>
            <w:bookmarkEnd w:id="7"/>
          </w:p>
        </w:tc>
        <w:tc>
          <w:tcPr>
            <w:tcW w:w="2977" w:type="dxa"/>
            <w:vAlign w:val="bottom"/>
          </w:tcPr>
          <w:p w14:paraId="1290755C" w14:textId="1EB22EC4" w:rsidR="00AA6DC1" w:rsidRPr="00615936" w:rsidRDefault="008F4FBC" w:rsidP="00483407">
            <w:pPr>
              <w:jc w:val="right"/>
              <w:rPr>
                <w:szCs w:val="24"/>
              </w:rPr>
            </w:pPr>
            <w:proofErr w:type="spellStart"/>
            <w:r>
              <w:rPr>
                <w:szCs w:val="24"/>
              </w:rPr>
              <w:t>V.Liepa</w:t>
            </w:r>
            <w:proofErr w:type="spellEnd"/>
          </w:p>
        </w:tc>
      </w:tr>
      <w:tr w:rsidR="00AA6DC1" w:rsidRPr="00615936" w14:paraId="00116A44" w14:textId="77777777" w:rsidTr="00AA6DC1">
        <w:tc>
          <w:tcPr>
            <w:tcW w:w="4395" w:type="dxa"/>
          </w:tcPr>
          <w:p w14:paraId="66007DDD" w14:textId="77777777" w:rsidR="00AA6DC1" w:rsidRPr="00615936" w:rsidRDefault="00AA6DC1" w:rsidP="007F3771">
            <w:pPr>
              <w:rPr>
                <w:szCs w:val="24"/>
              </w:rPr>
            </w:pPr>
          </w:p>
        </w:tc>
        <w:tc>
          <w:tcPr>
            <w:tcW w:w="1984" w:type="dxa"/>
          </w:tcPr>
          <w:p w14:paraId="3BE97A4D" w14:textId="77777777" w:rsidR="00AA6DC1" w:rsidRPr="00615936" w:rsidRDefault="00AA6DC1" w:rsidP="000C0DD4">
            <w:pPr>
              <w:jc w:val="right"/>
              <w:rPr>
                <w:szCs w:val="24"/>
              </w:rPr>
            </w:pPr>
          </w:p>
        </w:tc>
        <w:tc>
          <w:tcPr>
            <w:tcW w:w="2977" w:type="dxa"/>
            <w:vAlign w:val="bottom"/>
          </w:tcPr>
          <w:p w14:paraId="0705AED9"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570B25CE" w14:textId="77777777" w:rsidTr="00AA6DC1">
        <w:trPr>
          <w:cantSplit/>
          <w:trHeight w:val="615"/>
        </w:trPr>
        <w:tc>
          <w:tcPr>
            <w:tcW w:w="8647" w:type="dxa"/>
          </w:tcPr>
          <w:p w14:paraId="3726655B"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61B63DD4" w14:textId="77777777" w:rsidR="00826D51" w:rsidRDefault="00826D51" w:rsidP="007F3771">
      <w:pPr>
        <w:rPr>
          <w:sz w:val="20"/>
        </w:rPr>
      </w:pPr>
    </w:p>
    <w:p w14:paraId="0011DB64" w14:textId="77777777" w:rsidR="008F4FBC" w:rsidRDefault="008F4FBC" w:rsidP="008F4FBC">
      <w:pPr>
        <w:jc w:val="left"/>
        <w:rPr>
          <w:bCs/>
          <w:noProof/>
          <w:sz w:val="20"/>
        </w:rPr>
      </w:pPr>
      <w:bookmarkStart w:id="9" w:name="_MailAutoSig"/>
    </w:p>
    <w:p w14:paraId="25F3D450" w14:textId="77777777" w:rsidR="00280640" w:rsidRDefault="00280640" w:rsidP="008F4FBC">
      <w:pPr>
        <w:jc w:val="left"/>
        <w:rPr>
          <w:bCs/>
          <w:noProof/>
          <w:sz w:val="20"/>
        </w:rPr>
      </w:pPr>
    </w:p>
    <w:p w14:paraId="1B486BA0" w14:textId="77777777" w:rsidR="00280640" w:rsidRDefault="00280640" w:rsidP="008F4FBC">
      <w:pPr>
        <w:jc w:val="left"/>
        <w:rPr>
          <w:bCs/>
          <w:noProof/>
          <w:sz w:val="20"/>
        </w:rPr>
      </w:pPr>
    </w:p>
    <w:p w14:paraId="206D2837" w14:textId="77777777" w:rsidR="00280640" w:rsidRDefault="00280640" w:rsidP="008F4FBC">
      <w:pPr>
        <w:jc w:val="left"/>
        <w:rPr>
          <w:bCs/>
          <w:noProof/>
          <w:sz w:val="20"/>
        </w:rPr>
      </w:pPr>
    </w:p>
    <w:p w14:paraId="39CC59A4" w14:textId="445588C8" w:rsidR="008F4FBC" w:rsidRPr="001424CF" w:rsidRDefault="008F4FBC" w:rsidP="008F4FBC">
      <w:pPr>
        <w:jc w:val="left"/>
        <w:rPr>
          <w:rFonts w:eastAsiaTheme="minorHAnsi"/>
          <w:bCs/>
          <w:noProof/>
          <w:sz w:val="20"/>
        </w:rPr>
      </w:pPr>
      <w:r w:rsidRPr="001424CF">
        <w:rPr>
          <w:bCs/>
          <w:noProof/>
          <w:sz w:val="20"/>
        </w:rPr>
        <w:t>Dreiškena-Lāce, 67083859</w:t>
      </w:r>
      <w:r w:rsidRPr="001424CF">
        <w:rPr>
          <w:bCs/>
          <w:noProof/>
          <w:sz w:val="20"/>
        </w:rPr>
        <w:br/>
      </w:r>
      <w:hyperlink r:id="rId8" w:history="1">
        <w:r w:rsidRPr="001424CF">
          <w:rPr>
            <w:rStyle w:val="Hyperlink"/>
            <w:bCs/>
            <w:noProof/>
            <w:sz w:val="20"/>
          </w:rPr>
          <w:t>rita.dreiskena-lace@fm.gov.lv</w:t>
        </w:r>
      </w:hyperlink>
      <w:r w:rsidRPr="001424CF">
        <w:rPr>
          <w:bCs/>
          <w:noProof/>
          <w:sz w:val="20"/>
        </w:rPr>
        <w:br/>
      </w:r>
      <w:bookmarkEnd w:id="9"/>
    </w:p>
    <w:p w14:paraId="6F97CB68" w14:textId="77777777" w:rsidR="008F4FBC" w:rsidRPr="001424CF" w:rsidRDefault="008F4FBC" w:rsidP="008F4FBC">
      <w:pPr>
        <w:tabs>
          <w:tab w:val="left" w:pos="6740"/>
        </w:tabs>
        <w:jc w:val="left"/>
        <w:rPr>
          <w:sz w:val="20"/>
        </w:rPr>
      </w:pPr>
      <w:proofErr w:type="spellStart"/>
      <w:r w:rsidRPr="001424CF">
        <w:rPr>
          <w:sz w:val="20"/>
        </w:rPr>
        <w:t>Albova</w:t>
      </w:r>
      <w:proofErr w:type="spellEnd"/>
      <w:r w:rsidRPr="001424CF">
        <w:rPr>
          <w:sz w:val="20"/>
        </w:rPr>
        <w:t>, 67083857</w:t>
      </w:r>
    </w:p>
    <w:p w14:paraId="2D634506" w14:textId="77777777" w:rsidR="008F4FBC" w:rsidRPr="001424CF" w:rsidRDefault="006D5A82" w:rsidP="008F4FBC">
      <w:pPr>
        <w:tabs>
          <w:tab w:val="left" w:pos="6740"/>
        </w:tabs>
        <w:jc w:val="left"/>
        <w:rPr>
          <w:sz w:val="20"/>
        </w:rPr>
      </w:pPr>
      <w:hyperlink r:id="rId9" w:history="1">
        <w:r w:rsidR="008F4FBC" w:rsidRPr="001424CF">
          <w:rPr>
            <w:rStyle w:val="Hyperlink"/>
            <w:sz w:val="20"/>
          </w:rPr>
          <w:t>inese.albova@fm.gov.lv</w:t>
        </w:r>
      </w:hyperlink>
    </w:p>
    <w:p w14:paraId="545BD4EA" w14:textId="77777777" w:rsidR="008F4FBC" w:rsidRPr="00B37C84" w:rsidRDefault="008F4FBC" w:rsidP="008F4FBC">
      <w:pPr>
        <w:tabs>
          <w:tab w:val="left" w:pos="6740"/>
        </w:tabs>
        <w:rPr>
          <w:sz w:val="20"/>
        </w:rPr>
      </w:pPr>
    </w:p>
    <w:p w14:paraId="6203F7C3" w14:textId="77777777" w:rsidR="008F4FBC" w:rsidRPr="00355EC8" w:rsidRDefault="008F4FBC" w:rsidP="008F4FBC">
      <w:pPr>
        <w:ind w:right="-483"/>
        <w:rPr>
          <w:bCs/>
          <w:szCs w:val="24"/>
        </w:rPr>
      </w:pPr>
    </w:p>
    <w:p w14:paraId="4D44DD1D" w14:textId="77777777" w:rsidR="008F4FBC" w:rsidRPr="001763CB" w:rsidRDefault="008F4FBC" w:rsidP="008F4FBC">
      <w:pPr>
        <w:rPr>
          <w:szCs w:val="24"/>
        </w:rPr>
      </w:pPr>
    </w:p>
    <w:p w14:paraId="63B0434B" w14:textId="77777777" w:rsidR="000C0DD4" w:rsidRPr="006D6710" w:rsidRDefault="000C0DD4" w:rsidP="007F3771">
      <w:pPr>
        <w:rPr>
          <w:sz w:val="20"/>
        </w:rPr>
      </w:pPr>
    </w:p>
    <w:sectPr w:rsidR="000C0DD4" w:rsidRPr="006D6710" w:rsidSect="002C22B9">
      <w:headerReference w:type="even" r:id="rId10"/>
      <w:headerReference w:type="default" r:id="rId11"/>
      <w:footerReference w:type="default" r:id="rId12"/>
      <w:headerReference w:type="first" r:id="rId13"/>
      <w:footerReference w:type="first" r:id="rId14"/>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97365" w14:textId="77777777" w:rsidR="006C1885" w:rsidRDefault="006C1885">
      <w:r>
        <w:separator/>
      </w:r>
    </w:p>
  </w:endnote>
  <w:endnote w:type="continuationSeparator" w:id="0">
    <w:p w14:paraId="7362E9E4" w14:textId="77777777" w:rsidR="006C1885" w:rsidRDefault="006C1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54CEEDD0"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262037EB" w14:textId="77777777" w:rsidR="00280640" w:rsidRPr="001763CB" w:rsidRDefault="00280640" w:rsidP="00280640">
    <w:pPr>
      <w:rPr>
        <w:sz w:val="20"/>
      </w:rPr>
    </w:pPr>
    <w:r w:rsidRPr="001763CB">
      <w:rPr>
        <w:sz w:val="20"/>
      </w:rPr>
      <w:t>FMAtz_</w:t>
    </w:r>
    <w:r>
      <w:rPr>
        <w:sz w:val="20"/>
      </w:rPr>
      <w:t>0607</w:t>
    </w:r>
    <w:r w:rsidRPr="001763CB">
      <w:rPr>
        <w:sz w:val="20"/>
      </w:rPr>
      <w:t>21_VSS-5</w:t>
    </w:r>
    <w:r>
      <w:rPr>
        <w:sz w:val="20"/>
      </w:rPr>
      <w:t>78</w:t>
    </w:r>
  </w:p>
  <w:p w14:paraId="218638EE"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32773" w14:textId="77777777" w:rsidR="0015384D" w:rsidRDefault="0015384D">
    <w:pPr>
      <w:pStyle w:val="Footer"/>
      <w:jc w:val="center"/>
    </w:pPr>
  </w:p>
  <w:p w14:paraId="2EB4FB5E" w14:textId="77777777" w:rsidR="008F4FBC" w:rsidRPr="001763CB" w:rsidRDefault="008F4FBC" w:rsidP="008F4FBC">
    <w:pPr>
      <w:rPr>
        <w:sz w:val="20"/>
      </w:rPr>
    </w:pPr>
    <w:r w:rsidRPr="001763CB">
      <w:rPr>
        <w:sz w:val="20"/>
      </w:rPr>
      <w:t>FMAtz_</w:t>
    </w:r>
    <w:r>
      <w:rPr>
        <w:sz w:val="20"/>
      </w:rPr>
      <w:t>0607</w:t>
    </w:r>
    <w:r w:rsidRPr="001763CB">
      <w:rPr>
        <w:sz w:val="20"/>
      </w:rPr>
      <w:t>21_VSS-5</w:t>
    </w:r>
    <w:r>
      <w:rPr>
        <w:sz w:val="20"/>
      </w:rPr>
      <w:t>78</w:t>
    </w:r>
  </w:p>
  <w:p w14:paraId="6F4D25F0"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F72E5" w14:textId="77777777" w:rsidR="006C1885" w:rsidRDefault="006C1885">
      <w:r>
        <w:separator/>
      </w:r>
    </w:p>
  </w:footnote>
  <w:footnote w:type="continuationSeparator" w:id="0">
    <w:p w14:paraId="4AC247D5" w14:textId="77777777" w:rsidR="006C1885" w:rsidRDefault="006C1885">
      <w:r>
        <w:continuationSeparator/>
      </w:r>
    </w:p>
  </w:footnote>
  <w:footnote w:id="1">
    <w:p w14:paraId="7A08F305" w14:textId="77777777" w:rsidR="00280640" w:rsidRDefault="00280640" w:rsidP="00280640">
      <w:pPr>
        <w:pStyle w:val="NormalWeb"/>
        <w:shd w:val="clear" w:color="auto" w:fill="FFFFFF"/>
        <w:spacing w:before="0" w:beforeAutospacing="0" w:after="0" w:afterAutospacing="0"/>
        <w:jc w:val="both"/>
        <w:rPr>
          <w:sz w:val="20"/>
          <w:szCs w:val="20"/>
        </w:rPr>
      </w:pPr>
      <w:r>
        <w:rPr>
          <w:rStyle w:val="FootnoteReference"/>
        </w:rPr>
        <w:footnoteRef/>
      </w:r>
      <w:r>
        <w:rPr>
          <w:sz w:val="20"/>
          <w:szCs w:val="20"/>
        </w:rPr>
        <w:t xml:space="preserve"> Sk. Francijas Apdrošināšanas kodeksa (Code des assurances) 124.3. pantu, kas noteic, ka </w:t>
      </w:r>
      <w:r>
        <w:rPr>
          <w:i/>
          <w:iCs/>
          <w:sz w:val="20"/>
          <w:szCs w:val="20"/>
        </w:rPr>
        <w:t>“</w:t>
      </w:r>
      <w:r>
        <w:rPr>
          <w:i/>
          <w:iCs/>
          <w:sz w:val="20"/>
          <w:szCs w:val="20"/>
          <w:lang w:val="fr-FR" w:eastAsia="en-US"/>
        </w:rPr>
        <w:t xml:space="preserve">Le tiers lésé dispose d'un droit d'action directe à l'encontre de l'assureur garantissant la responsabilité civile de la personne responsable. </w:t>
      </w:r>
      <w:r>
        <w:rPr>
          <w:i/>
          <w:iCs/>
          <w:sz w:val="20"/>
          <w:szCs w:val="20"/>
          <w:lang w:val="fr-FR"/>
        </w:rPr>
        <w:t>L'assureur ne peut payer à un autre que le tiers lésé tout ou partie de la somme due par lui, tant que ce tiers n'a pas été désintéressé, jusqu'à concurrence de ladite somme, des conséquences pécuniaires du fait dommageable ayant entraîné la responsabilité de l'assuré.</w:t>
      </w:r>
      <w:r>
        <w:rPr>
          <w:i/>
          <w:iCs/>
          <w:sz w:val="20"/>
          <w:szCs w:val="20"/>
        </w:rPr>
        <w:t>”</w:t>
      </w:r>
      <w:r>
        <w:rPr>
          <w:sz w:val="20"/>
          <w:szCs w:val="20"/>
        </w:rPr>
        <w:t xml:space="preserve"> (Pieejams: </w:t>
      </w:r>
      <w:hyperlink r:id="rId1" w:history="1">
        <w:r>
          <w:rPr>
            <w:rStyle w:val="Hyperlink"/>
            <w:sz w:val="20"/>
            <w:szCs w:val="20"/>
          </w:rPr>
          <w:t>https://www.legifrance.gouv.fr/codes/id/LEGIARTI000017735449/2007-12-19/</w:t>
        </w:r>
      </w:hyperlink>
      <w:r>
        <w:rPr>
          <w:sz w:val="20"/>
          <w:szCs w:val="20"/>
        </w:rPr>
        <w:t>)</w:t>
      </w:r>
    </w:p>
  </w:footnote>
  <w:footnote w:id="2">
    <w:p w14:paraId="445FF63C" w14:textId="77777777" w:rsidR="00280640" w:rsidRDefault="00280640" w:rsidP="00280640">
      <w:pPr>
        <w:pStyle w:val="FootnoteText"/>
      </w:pPr>
      <w:r>
        <w:rPr>
          <w:rStyle w:val="FootnoteReference"/>
        </w:rPr>
        <w:footnoteRef/>
      </w:r>
      <w:r>
        <w:t xml:space="preserve"> Sk. Spānijas Apdrošināšanas līguma likuma (Lay de Contrato de Seguro) 76.pantu, kas noteic </w:t>
      </w:r>
      <w:r>
        <w:rPr>
          <w:i/>
          <w:iCs/>
        </w:rPr>
        <w:t>“El perjudicado o sus herederos tendrán acción directa contra el asegurador para exigirle el cumplimiento de la obligación de indemnizar, sin perjuicio del derecho del asegurador a repetir contra el asegurado, en el caso de que sea debido a conducta dolosa de éste, el daño o perjuicio causado a tercero. La acción directa es inmune a las excepciones que puedan corresponder al asegurador contra el asegurado. El asegurador puede, no obstante, oponer la culpa exclusiva del perjudicado y las excepciones personales que tenga contra éste. A los efectos del ejercicio de la acción directa, el asegurado estará obligado a manifestar al tercero perjudicado o a sus herederos la existencia del contrato de seguro y su contenido.</w:t>
      </w:r>
      <w:r>
        <w:rPr>
          <w:i/>
          <w:iCs/>
          <w:color w:val="222222"/>
          <w:shd w:val="clear" w:color="auto" w:fill="FFFFFF"/>
        </w:rPr>
        <w:t>”</w:t>
      </w:r>
      <w:r>
        <w:rPr>
          <w:color w:val="222222"/>
          <w:shd w:val="clear" w:color="auto" w:fill="FFFFFF"/>
        </w:rPr>
        <w:t xml:space="preserve"> Pieejams: </w:t>
      </w:r>
      <w:hyperlink r:id="rId2" w:history="1">
        <w:r>
          <w:rPr>
            <w:rStyle w:val="Hyperlink"/>
            <w:shd w:val="clear" w:color="auto" w:fill="FFFFFF"/>
          </w:rPr>
          <w:t>https://www.boe.es/buscar/pdf/1980/BOE-A-1980-22501-consolidado.pdf</w:t>
        </w:r>
      </w:hyperlink>
      <w:r>
        <w:rPr>
          <w:color w:val="222222"/>
          <w:shd w:val="clear" w:color="auto" w:fill="FFFFFF"/>
        </w:rPr>
        <w:t xml:space="preserve">. </w:t>
      </w:r>
    </w:p>
  </w:footnote>
  <w:footnote w:id="3">
    <w:p w14:paraId="30763989" w14:textId="77777777" w:rsidR="00280640" w:rsidRDefault="00280640" w:rsidP="00280640">
      <w:pPr>
        <w:pStyle w:val="FootnoteText"/>
      </w:pPr>
      <w:r>
        <w:rPr>
          <w:rStyle w:val="FootnoteReference"/>
        </w:rPr>
        <w:footnoteRef/>
      </w:r>
      <w:r>
        <w:t xml:space="preserve"> Sk. Grieķijas apdrošināšanas līguma likuma (</w:t>
      </w:r>
      <w:r>
        <w:rPr>
          <w:lang w:val="en-US"/>
        </w:rPr>
        <w:t>Insurance Contract Act</w:t>
      </w:r>
      <w:r>
        <w:t xml:space="preserve">) 26.panta pirmo daļu, kas noteic, ka </w:t>
      </w:r>
      <w:r>
        <w:rPr>
          <w:i/>
          <w:iCs/>
          <w:lang w:val="en-US"/>
        </w:rPr>
        <w:t>“</w:t>
      </w:r>
      <w:r>
        <w:rPr>
          <w:i/>
          <w:iCs/>
        </w:rPr>
        <w:t>Whenever third party insurance is compulsory by law, the third party shall have a direct claim even for sums exceeding the insured sum, up to the limit for which insurance is compulsory.”</w:t>
      </w:r>
      <w:r>
        <w:t xml:space="preserve"> Pieejams: </w:t>
      </w:r>
      <w:hyperlink r:id="rId3" w:history="1">
        <w:r>
          <w:rPr>
            <w:rStyle w:val="Hyperlink"/>
          </w:rPr>
          <w:t>http://www.eaee.gr/cms/sites/default/files/law2496.pdf</w:t>
        </w:r>
      </w:hyperlink>
      <w:r>
        <w:t xml:space="preserve"> </w:t>
      </w:r>
    </w:p>
  </w:footnote>
  <w:footnote w:id="4">
    <w:p w14:paraId="4289F929" w14:textId="77777777" w:rsidR="00280640" w:rsidRDefault="00280640" w:rsidP="00280640">
      <w:pPr>
        <w:rPr>
          <w:sz w:val="20"/>
        </w:rPr>
      </w:pPr>
      <w:r>
        <w:rPr>
          <w:rStyle w:val="FootnoteReference"/>
        </w:rPr>
        <w:footnoteRef/>
      </w:r>
      <w:r>
        <w:rPr>
          <w:sz w:val="20"/>
        </w:rPr>
        <w:t xml:space="preserve"> Sk. Vācijas Apdrošināšanas līguma likuma (</w:t>
      </w:r>
      <w:r>
        <w:rPr>
          <w:i/>
          <w:sz w:val="20"/>
        </w:rPr>
        <w:t>Versicherungsvertragsgesetz)</w:t>
      </w:r>
      <w:r>
        <w:rPr>
          <w:sz w:val="20"/>
        </w:rPr>
        <w:t xml:space="preserve"> 115.panta pirmās daļas 1.punktu, kas noteic</w:t>
      </w:r>
      <w:r>
        <w:rPr>
          <w:color w:val="000000"/>
          <w:sz w:val="20"/>
        </w:rPr>
        <w:t xml:space="preserve"> </w:t>
      </w:r>
      <w:r>
        <w:rPr>
          <w:i/>
          <w:iCs/>
          <w:color w:val="000000"/>
          <w:sz w:val="20"/>
        </w:rPr>
        <w:t>“The third party may also assert his claim for compensation against the insurer in the case of liability insurance, for the fulfilment of a duty to take out insurance in accordance with the Compulsory Insurance Act”</w:t>
      </w:r>
      <w:r>
        <w:rPr>
          <w:color w:val="000000"/>
          <w:sz w:val="20"/>
        </w:rPr>
        <w:t xml:space="preserve"> (Pieejams: </w:t>
      </w:r>
      <w:hyperlink r:id="rId4" w:anchor="p0475" w:history="1">
        <w:r>
          <w:rPr>
            <w:rStyle w:val="Hyperlink"/>
            <w:sz w:val="20"/>
          </w:rPr>
          <w:t>https://www.gesetze-im-internet.de/englisch_vvg/englisch_vvg.html#p0475</w:t>
        </w:r>
      </w:hyperlink>
      <w:r>
        <w:rPr>
          <w:color w:val="000000"/>
          <w:sz w:val="20"/>
        </w:rPr>
        <w:t>).</w:t>
      </w:r>
    </w:p>
  </w:footnote>
  <w:footnote w:id="5">
    <w:p w14:paraId="4228832B" w14:textId="77777777" w:rsidR="00280640" w:rsidRDefault="00280640" w:rsidP="00280640">
      <w:pPr>
        <w:pStyle w:val="FootnoteText"/>
      </w:pPr>
      <w:r>
        <w:rPr>
          <w:rStyle w:val="FootnoteReference"/>
        </w:rPr>
        <w:footnoteRef/>
      </w:r>
      <w:r>
        <w:t xml:space="preserve"> </w:t>
      </w:r>
      <w:r>
        <w:rPr>
          <w:iCs/>
          <w:lang w:eastAsia="lv-LV"/>
        </w:rPr>
        <w:t>(</w:t>
      </w:r>
      <w:r>
        <w:rPr>
          <w:i/>
          <w:iCs/>
          <w:lang w:eastAsia="lv-LV"/>
        </w:rPr>
        <w:t xml:space="preserve">sk. Principles of European Insurance Contract Law (PEICL) </w:t>
      </w:r>
      <w:r>
        <w:rPr>
          <w:iCs/>
          <w:lang w:eastAsia="lv-LV"/>
        </w:rPr>
        <w:t xml:space="preserve">(Pieejams: </w:t>
      </w:r>
      <w:hyperlink r:id="rId5" w:history="1">
        <w:r>
          <w:rPr>
            <w:rStyle w:val="Hyperlink"/>
            <w:iCs/>
            <w:lang w:eastAsia="lv-LV"/>
          </w:rPr>
          <w:t>https://www.uibk.ac.at/zivilrecht/forschung/evip/restatement/sprachfassungen/peicl-en.pdf</w:t>
        </w:r>
      </w:hyperlink>
      <w:r>
        <w:rPr>
          <w:iCs/>
          <w:lang w:eastAsia="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75FE0"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4760692"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89F86"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BE40A" w14:textId="77777777" w:rsidR="002C22B9" w:rsidRDefault="002C22B9">
    <w:pPr>
      <w:pStyle w:val="Header"/>
    </w:pPr>
  </w:p>
  <w:p w14:paraId="37F83364" w14:textId="77777777" w:rsidR="002C22B9" w:rsidRDefault="002C22B9">
    <w:pPr>
      <w:pStyle w:val="Header"/>
    </w:pPr>
  </w:p>
  <w:p w14:paraId="47D86269" w14:textId="77777777" w:rsidR="002C22B9" w:rsidRDefault="002C22B9">
    <w:pPr>
      <w:pStyle w:val="Header"/>
    </w:pPr>
  </w:p>
  <w:p w14:paraId="5344433D"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714B2651" wp14:editId="6B09D5FA">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EDB6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14B2651"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02DEDB6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7362CF07" wp14:editId="30AD3F7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D466FB" w14:textId="77777777" w:rsidR="002C22B9" w:rsidRDefault="002C22B9">
    <w:pPr>
      <w:pStyle w:val="Header"/>
    </w:pPr>
  </w:p>
  <w:p w14:paraId="7B7F93A1" w14:textId="77777777" w:rsidR="002C22B9" w:rsidRDefault="002C22B9">
    <w:pPr>
      <w:pStyle w:val="Header"/>
    </w:pPr>
  </w:p>
  <w:p w14:paraId="684F8FC8" w14:textId="77777777" w:rsidR="002C22B9" w:rsidRDefault="002C22B9">
    <w:pPr>
      <w:pStyle w:val="Header"/>
    </w:pPr>
  </w:p>
  <w:p w14:paraId="4F4BD514" w14:textId="77777777" w:rsidR="002C22B9" w:rsidRDefault="002C22B9">
    <w:pPr>
      <w:pStyle w:val="Header"/>
    </w:pPr>
  </w:p>
  <w:p w14:paraId="2B3A4FE9" w14:textId="77777777" w:rsidR="002C22B9" w:rsidRDefault="002C22B9">
    <w:pPr>
      <w:pStyle w:val="Header"/>
    </w:pPr>
  </w:p>
  <w:p w14:paraId="771869D8" w14:textId="77777777" w:rsidR="002C22B9" w:rsidRDefault="002C22B9">
    <w:pPr>
      <w:pStyle w:val="Header"/>
    </w:pPr>
  </w:p>
  <w:p w14:paraId="7EA17941"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0167D4A8" wp14:editId="0755D527">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3B5A123" w14:textId="77777777" w:rsidR="002C22B9" w:rsidRDefault="002C22B9">
    <w:pPr>
      <w:pStyle w:val="Header"/>
    </w:pPr>
  </w:p>
  <w:p w14:paraId="39F36C32" w14:textId="77777777" w:rsidR="002C22B9" w:rsidRDefault="002C22B9">
    <w:pPr>
      <w:pStyle w:val="Header"/>
    </w:pPr>
  </w:p>
  <w:p w14:paraId="4A8A81A5"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935674"/>
    <w:multiLevelType w:val="hybridMultilevel"/>
    <w:tmpl w:val="CE5C4E06"/>
    <w:lvl w:ilvl="0" w:tplc="2C2C226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C5F95"/>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80640"/>
    <w:rsid w:val="00292E11"/>
    <w:rsid w:val="0029448D"/>
    <w:rsid w:val="002A20A3"/>
    <w:rsid w:val="002B2B9A"/>
    <w:rsid w:val="002C22B9"/>
    <w:rsid w:val="002D0DAE"/>
    <w:rsid w:val="002D2EFD"/>
    <w:rsid w:val="002D6CB4"/>
    <w:rsid w:val="002E06CD"/>
    <w:rsid w:val="002E288C"/>
    <w:rsid w:val="002F5D59"/>
    <w:rsid w:val="00300D95"/>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4F7FB0"/>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648B"/>
    <w:rsid w:val="00667635"/>
    <w:rsid w:val="00683E8B"/>
    <w:rsid w:val="00697AB8"/>
    <w:rsid w:val="006A05F7"/>
    <w:rsid w:val="006A3594"/>
    <w:rsid w:val="006A707B"/>
    <w:rsid w:val="006B33CB"/>
    <w:rsid w:val="006B42A2"/>
    <w:rsid w:val="006C1885"/>
    <w:rsid w:val="006D24EC"/>
    <w:rsid w:val="006D5A82"/>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8F4FBC"/>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1DB850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uiPriority w:val="99"/>
    <w:semiHidden/>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uiPriority w:val="99"/>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0640"/>
    <w:pPr>
      <w:widowControl w:val="0"/>
      <w:spacing w:after="200" w:line="276" w:lineRule="auto"/>
      <w:ind w:left="720"/>
      <w:contextualSpacing/>
      <w:jc w:val="left"/>
    </w:pPr>
    <w:rPr>
      <w:rFonts w:ascii="Calibri" w:eastAsia="Calibri" w:hAnsi="Calibri"/>
      <w:sz w:val="22"/>
      <w:szCs w:val="22"/>
      <w:lang w:val="en-US"/>
    </w:rPr>
  </w:style>
  <w:style w:type="paragraph" w:styleId="NormalWeb">
    <w:name w:val="Normal (Web)"/>
    <w:basedOn w:val="Normal"/>
    <w:uiPriority w:val="99"/>
    <w:semiHidden/>
    <w:unhideWhenUsed/>
    <w:rsid w:val="00280640"/>
    <w:pPr>
      <w:spacing w:before="100" w:beforeAutospacing="1" w:after="100" w:afterAutospacing="1"/>
      <w:jc w:val="left"/>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rita.dreiskena-lace@f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ese.albova@fm.gov.lv"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eaee.gr/cms/sites/default/files/law2496.pdf" TargetMode="External"/><Relationship Id="rId2" Type="http://schemas.openxmlformats.org/officeDocument/2006/relationships/hyperlink" Target="https://www.boe.es/buscar/pdf/1980/BOE-A-1980-22501-consolidado.pdf" TargetMode="External"/><Relationship Id="rId1" Type="http://schemas.openxmlformats.org/officeDocument/2006/relationships/hyperlink" Target="https://www.legifrance.gouv.fr/codes/id/LEGIARTI000017735449/2007-12-19/" TargetMode="External"/><Relationship Id="rId5" Type="http://schemas.openxmlformats.org/officeDocument/2006/relationships/hyperlink" Target="https://www.uibk.ac.at/zivilrecht/forschung/evip/restatement/sprachfassungen/peicl-en.pdf" TargetMode="External"/><Relationship Id="rId4" Type="http://schemas.openxmlformats.org/officeDocument/2006/relationships/hyperlink" Target="https://www.gesetze-im-internet.de/englisch_vvg/englisch_vvg.html" TargetMode="Externa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AE7FAB-1884-4075-930C-EAB31B1F1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6404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"Grozījum</dc:subject>
  <dc:creator>Dreiškena-Lāce R.</dc:creator>
  <dc:description>Sagatavots ALS E-aprites vidē.</dc:description>
  <cp:lastModifiedBy>Ilze Margeviča</cp:lastModifiedBy>
  <cp:revision>2</cp:revision>
  <cp:lastPrinted>2007-06-25T10:49:00Z</cp:lastPrinted>
  <dcterms:created xsi:type="dcterms:W3CDTF">2021-08-08T20:49:00Z</dcterms:created>
  <dcterms:modified xsi:type="dcterms:W3CDTF">2021-08-08T20:49:00Z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