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25-TA-2602: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8. jūlija noteikumos Nr. 423 "Eiropas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26.01.2026. 11:53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Specifiskā atbalsta ietvaros līdz 2030. gada 31. decembrim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detalizētu pamatojumu, kāpēc ir nepieciešams 3.2.1.2.pasākuma "</w:t>
            </w:r>
            <w:r w:rsidR="00000000" w:rsidRPr="00000000" w:rsidDel="00000000">
              <w:rPr>
                <w:i w:val="1"/>
                <w:rtl w:val="0"/>
              </w:rPr>
              <w:t xml:space="preserve">Uzlabot efektīvus savienojumus Daugavpils pilsētā un Latgales reģionā, pārbūvējot Vienības tiltu Daugavpilī</w:t>
            </w:r>
            <w:r w:rsidR="00000000" w:rsidRPr="00000000" w:rsidDel="00000000">
              <w:rPr>
                <w:rtl w:val="0"/>
              </w:rPr>
              <w:t xml:space="preserve">" projekta īstenošanas termiņa pagarinājums līdz 2030. gada 31. decembrim, norādot konkrētus iemeslus un apstākļus, kuru dēļ projekta izpilde nav nodrošināma sākotnēji noteiktajā termiņā. Vienlaikus lūdzam skaidrot vai un kā konkrētais termiņa pagarinājums ietekmēs sākotnēji plānotās budžeta prognozes, vai ir veikts šādas ietekmes izvērtējums.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432  7. un 29.punktā esošais īstenošanas termiņš netiek mainīts, kā arī šo grozījumu anotācijā svītrota informācija par pasākuma īstenošanas termiņa maiņu.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Specifiskā atbalsta ietvaros līdz 2029. gada 31. decembrim ir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iesniegumā ir pamatots, ka projekta iesniegumā ietvertās darbības nodrošina militārās mobilitātes iespējas, tādējādi stiprinot drošību Latvijas Austrumu pierobežā.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neatbalsta izmaiņas MK noteikumos tādā redakcijā, kas neparedz projekta atlasē iesniedzamās Aizsardzības ministrijas atbalsta vēstules saņemšanu. AM ieskatā atbalsta vēstules saņemšana attiecībā uz Vienības tilta rekonstrukcijas projektu ir aktuāla un saglabājama. Šobrīd, sadarbībā ar projekta īstenotāju, notiek darbs, lai Vienības tilta rekonstrukcijas projektā tiktu iestrādāti pretmobilitātes tehniskie risinājumi, bet tie vēl joprojām nav integrēti tilta tehniskajā projektā. Ņemot vērā iepriekš minēto, pašreizējais regulējums par nepieciešamību pēc AM atbalsta vēstules attiecībā uz projekta atbilstību Nacionālo bruņoto spēku operacionālajām vajadzībām joprojām ir aktuāls un nevar tikt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17.punkts saglabāts esošajā redakcijā, kas paredz Aizsardzības ministrijas atbalsta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1.3. sadaļa papildināta ar informāciju, ka Centrālā finanšu un līgumu aģentūra, kas ar Daugavpils valstspilsētas pašvaldību 2026.gada 5.janvārī noslēgusi vienošanos par projekta īstenošanu Nr. 3.2.1.0/1/25/I/001, veiks projekta īstenošanas uzraudzību, tostarp pārliecināsies, lai pretmobilitātes tehniskie risinājumi savlaicīgi tiktu integrēti tilta tehniskajā projektā, kā arī lai tie tiktu saskaņoti ar Aizsardzības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par izstrādāto grozījumu ietekmi uz finansējuma saņēmēju, ka arī to, vai noslēgtajā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un 2.sadaļa papildināta ar informāciju, ka būs nepieciešams veikt attiecīgus vienošanās par projekta īstenošanu Nr. 3.2.1.0/1/25/I/001 tehniskus grozījumus, precizējot ES kohēzijas politikas programmas 2021. - 2027. gadam prioritātes un SAM nosaukumu, pasākuma numuru un nosaukumu, un iznākuma rādītāja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22.9.</w:t>
            </w:r>
            <w:r w:rsidR="00000000" w:rsidRPr="00000000" w:rsidDel="00000000">
              <w:rPr>
                <w:rtl w:val="0"/>
              </w:rPr>
              <w:t xml:space="preserve"> apakšpunktā</w:t>
            </w:r>
            <w:r w:rsidR="00000000" w:rsidRPr="00000000" w:rsidDel="00000000">
              <w:rPr>
                <w:rtl w:val="0"/>
              </w:rPr>
              <w:t xml:space="preserve"> minētās izmaksas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MK noteikumu 24.punktu saskaņā ar Vadlīniju attiecināmo izdevumu noteikšanai Eiropas Savienības Kohēzijas politikas programmas 2021.-2027.gada plānošanas periodā 41.punktu.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22.9. apakšpunktā minētās izmaksas nepārsniedz 10 procentus no projekta kopējām plānotajām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1.3. sadaļa papildināta ar informāciju, ka precizēts minētā ierobežojuma formulējums, lai mazinātu administratīvo slogu, kā arī, lai finansējuma saņēmējs nezaudētu finansējumu projektā paredzētajām autoruzraudzības un būvdarbu būvuzraudzības darbībām, kas pēc būtības ir attiecināmas un nepieciešamas projekta kopējā mērķa un rezultāta sasniegšanai, bet šīm darbībām izmaksu efektivitātes nolūkos ir noteikts procentuālais ierobežojums. Attiecīgi būtu jānosaka, ka autoruzraudzības un būvdarbu būvuzraudzības izmaksas nepārsniedz 10 procentus no projekta kopējām plānotajām attiecināmajām izmaksām, kā arī jānosaka minētā ierobežojuma piemērošanas nosacījumi gadījumā, kad projekta noslēgumā konstatēts finansējuma atlikums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noteikumi papildināti ar jaunu 24</w:t>
            </w:r>
            <w:r w:rsidR="00000000" w:rsidRPr="00000000" w:rsidDel="00000000">
              <w:rPr>
                <w:vertAlign w:val="superscript"/>
                <w:rtl w:val="0"/>
              </w:rPr>
              <w:t xml:space="preserve"> 1</w:t>
            </w:r>
            <w:r w:rsidR="00000000" w:rsidRPr="00000000" w:rsidDel="00000000">
              <w:rPr>
                <w:rtl w:val="0"/>
              </w:rPr>
              <w:t xml:space="preserve"> punktu, kas nosaka, ka 22.9. apakšpunktā minētās izmaksas nesamazina gadījumā, ja projekta īstenošanas laikā rodas ietaupījums, un  projekta mērķi un rādītāji tiek sasniegti, kā arī, ja ticis piemērots līgumsods vai tiek konstatētas neatbilstoši veiktas izmaksas, kas nav saistītas ar 22.9. apakšpunktā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22.9.</w:t>
            </w:r>
            <w:r w:rsidR="00000000" w:rsidRPr="00000000" w:rsidDel="00000000">
              <w:rPr>
                <w:rtl w:val="0"/>
              </w:rPr>
              <w:t xml:space="preserve"> apakšpunktā</w:t>
            </w:r>
            <w:r w:rsidR="00000000" w:rsidRPr="00000000" w:rsidDel="00000000">
              <w:rPr>
                <w:rtl w:val="0"/>
              </w:rPr>
              <w:t xml:space="preserve"> minētās izmaksas nepārsniedz 10 procentus no projekta kopējām plānotajām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nodrošina interešu konflikta neesību saskaņā ar </w:t>
            </w:r>
            <w:r w:rsidR="00000000" w:rsidRPr="00000000" w:rsidDel="00000000">
              <w:rPr>
                <w:rtl w:val="0"/>
              </w:rPr>
              <w:t xml:space="preserve">Eiropas Parlamenta un Padomes 2024. gada 23. septembra Regulas (ES, Euratom) 2024/2509 par finanšu noteikumiem, ko piemēro Savienības vispārējam budžetam (pārstrādāta redakcija)</w:t>
            </w:r>
            <w:r w:rsidR="00000000" w:rsidRPr="00000000" w:rsidDel="00000000">
              <w:rPr>
                <w:rtl w:val="0"/>
              </w:rPr>
              <w:t xml:space="preserve">, 61. pantu un normatīvajiem aktiem publisko iepirkumu jomā,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30.13. apakšpunktā iekļaut atsauci uz Eiropas Parlamenta un Padomes 2024. gada 23. septembra Regulas (ES, Euratom) 2024/2509 par finanšu noteikumiem, ko piemēro Savienības vispārējam budžetam (pārstrādātā redakcija)( turpmāk - Finanšu regula) 61.pantu, ņemot vērā konkrētā specifiskā atbalsta mērķa projekta veidu, kā arī to, ka Finanšu regulas 61.panta prasības ir tieši attiecināmas uz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interešu konflikta neesību saskaņā ar normatīvajiem aktiem publisko iepirkumu jomā,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1.3. sadaļa papildināta ar informāciju - ņemot vērā, ka Vienības tilta Daugavpilī pārbūves projekts nav daudzpakāpju projekts, atsauce uz Finanšu regulas 61. pantu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nodrošina interešu konflikta neesību saskaņā ar normatīvajiem aktiem publisko iepirkumu jomā, kā arī paraksta interešu konflikta neesības apliecinājumu.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25-TA-2602</w:t>
    </w:r>
    <w:r>
      <w:br/>
    </w:r>
    <w:r w:rsidR="00000000" w:rsidRPr="00000000" w:rsidDel="00000000">
      <w:rPr>
        <w:rtl w:val="0"/>
      </w:rPr>
      <w:t xml:space="preserve">24.03.2026. 06.19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25-TA-2602</w:t>
    </w:r>
    <w:r>
      <w:br/>
    </w:r>
    <w:r w:rsidR="00000000" w:rsidRPr="00000000" w:rsidDel="00000000">
      <w:rPr>
        <w:rtl w:val="0"/>
      </w:rPr>
      <w:t xml:space="preserve">24.03.2026. 06.19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Izziņa_25-TA-2602.docx</dc:title>
</cp:coreProperties>
</file>

<file path=docProps/custom.xml><?xml version="1.0" encoding="utf-8"?>
<Properties xmlns="http://schemas.openxmlformats.org/officeDocument/2006/custom-properties" xmlns:vt="http://schemas.openxmlformats.org/officeDocument/2006/docPropsVTypes"/>
</file>