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23-TA-1221: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14. jūnija noteikumos Nr. 365 "Darbības programmas "Izaugsme un nodarbinātība" 1.2.2. specifiskā atbalsta mērķa "Veicināt inovāciju ieviešanu komersantos" 1.2.2.3. pasākuma "Atbalsts IKT un netehnoloģiskām apmācībām, kā arī apmācībām, lai sekmētu investoru piesaisti" un 13.1.6. specifiskā atbalsta mērķa "Atveseļošanas pasākumi ekonomikas nozarē – nodarbināto apmācības (ERAF)"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norādīto: </w:t>
            </w:r>
            <w:r w:rsidR="00000000" w:rsidRPr="00000000" w:rsidDel="00000000">
              <w:rPr>
                <w:i w:val="1"/>
                <w:rtl w:val="0"/>
              </w:rPr>
              <w:t xml:space="preserve">"Pēc noteikumu projekta apstiprināšanas, ja finanšu saņēmējs iesniedz līguma grozījumus, CFLA var samazināt līgumos iekļautos rādītājus, kas jāsasniedz līdz 2023. gada 31. decembrim, nepārsniedzot MK rīkojumā Nr. 259 iekļautos REACT-EU rādītājus - Personu skaits, kuras saņem nefinansiālu atbalstu (1008), Atbalstīto komersantu skaits (170), Atbalstīto komersantu skaits, kas saņem grantus (170). CFLA iespējams arī samazināt ERAF rādītājus, nepārsniedzot  MK rīkojumā Nr. 259 noteiktos ERAF rādītājus par personu skaitu, kuras saņem nefinansiālu atbalstu (34 320.00, 1.2.2.3. pasākumam 11 080), Atbalstīto komersantu skaitu (1300), Atbalstīto komersantu skaits, kas saņem grantus (1300) , lai būtu nodrošināma 65% sasniegto rādītāju izpilde attiecībā pret plānotajiem sākuma rādītājiem.", </w:t>
            </w:r>
            <w:r w:rsidR="00000000" w:rsidRPr="00000000" w:rsidDel="00000000">
              <w:rPr>
                <w:rtl w:val="0"/>
              </w:rPr>
              <w:t xml:space="preserve">saprotam, ka šīs rindkopas mērķis ir atļaut Finansējuma saņēmējiem, kuriem tas ir aktuāli, ar līguma/vienošanās grozījumiem samazināt projektos plānotos rādītājus. Lūdzam izvērtēt nepieciešamību atļaut samazināt arī ERAF plānotos rādītājus, jo pēc CFLA rīcībā esošās informācijas, 1.2.2.3. pasākumā nav riska nesasniegt 65% no projektos noteiktajām rādītāju vērtībām. Papildus lūdzam anotācijā norādīt arī skaidru pamatojumu ERAF rādītāju samazināšanai un kritērijus, pēc kuriem CFLA var apstiprināt Finansējuma saņēmēja iesniegtos līguma/vienošanās grozījumus par rādītāju samazināšanu, lai tie nodrošinātu vienlīdzīgu attieksmi pret visiem Finansējuma saņēmējiem. Lūdzam arī anotācijā paredzēt, ka visus Finansējuma saņemēju iesniegtos līguma/vienošanās grozījumus par rādītāju samazināšanu CFLA saskaņo ar Atbildīgo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redakcionāli precizējumi anotācijā nosakot, ka CFLA pirms apstiprina Finansējuma saņēmēja iesniegtos līguma grozījumus, apzina aktuālo informāciju par sasniegtajiem rādītājiem Finansējuma saņēmējiem. Pēc informācijas saņemšanas CFLA veic finanšu korekciju samazinot sasniegto rādītāju attiecībā pret plānotajiem sākuma rādītājiem, bet vienlaikus nodrošina 65% sasniegto rādītāju izpildi, kas jāsasniedz līdz 2023. gada 31. decembrim, nepārsniedzot MK rīkojumā Nr. 259  iekļautos rādītājus (gan ERAF, gan REACT-EU).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anotācijas 1.3. punkta 2. apakšpunkta tekstā drukas kļūdu attiecībā uz piemērojamo vadlīniju Nr. : " Ekonomikas ministrijas ieskatā CFLA ir jāpiemēro vadlīniju Nr.5.7. noteikumu izņēmumu gadījums (force majeure) ņemot vērā, ka kopējais SAM rādītājs ir sasniegts.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2.CFLA, izvērtējot finansējuma saņēmēju līguma grozījumus, nevar pārbaudīt un nodrošināt, ka precizētie sasniedzamie rādītāji projektos sasniedz kopā noteiktos sasniedzamos rādītājus, bet no anotācijas 1.3. punkta 2. apakšpunkta pēdējās  rindkopas iekļautās redakcijas:"Vienlaikus līgumu grozījumu ietvaros ir jānodrošina, lai visi projekti kopā sasniegtu MK Noteikumos Nr. 365 un ar šo Noteikumu projektu precizētos sasniedzamos rādītājus [..]" var interpretēt, ka tā kā par līguma grozījumu veikšanu atbild CFLA, tad arī CFLA būtu jānodrošina šo rādītāju sasniegšanas uzraudzība. Ņemot vērā minēto, lūdzam precizēt anotācijas teksta minētās rindkopas redakciju: "Vienlaikus Ekonomikas ministrijai kā atbildīgajai iestādei, saskaņojot no CFLA saņemto  informāciju par ierosinātajiem projekta līguma  grozījumiem,  ir jānodrošina, lai visi projekti kopā sasniegtu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izskatīts un anotācija papildināta šādā redakcijā: Ekonomikas ministrija kā atbildīgā iestāde, saskaņojot no CFLA saņemto  informāciju par ierosinātajiem projekta līguma  grozījumiem un iesniegto aktuālo informāciju par sasniegtajiem rādītājiem,  pārliecināsies, lai visi projekti kopā sasniegtu noteiktos sasniedzamos SAM līmeņa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EM anotāciju papildināt ar skaidri definētiem kritērijiem, pēc kuriem CFLA var apstiprināt  Finansējuma saņēmēja iesniegtos līguma grozījumus, lai nodrošinātu vienlīdzīgu attieksmi pret visiem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priekšlikums, kā anotācijā minēts, tad ir iestājies Vadlīnijās noteiktais korekcijas izņēmums, un CFLA ir tiesības lemt par individuālu rādītāju noteikšanu, sadarbojoties ar finansējuma saņēmēju. Būtisks nosacījums rādītāju samazināšanai ir - finansējuma saņēmējam ir jāsniedz informāciju par projekta rādītāju sniegumu, argumentējot sasaisti ar sociāli ekonomisko vai vides faktoru ietekmi, valsts ekonomiku vai nepārvaramas varas un ārkārtēja rakstura apstākļus (</w:t>
            </w:r>
            <w:r w:rsidR="00000000" w:rsidRPr="00000000" w:rsidDel="00000000">
              <w:rPr>
                <w:i w:val="1"/>
                <w:rtl w:val="0"/>
              </w:rPr>
              <w:t xml:space="preserve">force majeure</w:t>
            </w:r>
            <w:r w:rsidR="00000000" w:rsidRPr="00000000" w:rsidDel="00000000">
              <w:rPr>
                <w:rtl w:val="0"/>
              </w:rPr>
              <w:t xml:space="preserve">), kā arī sniedzot informāciju, kādi rādītāji ir faktiski sasniedzami. Rādītāji ir nosakāmi tādā apmērā, kas ļauj nodrošināt SAM līmenī noteiktā kopējā radītāja sasniegšanu. Attiecīgi Ekonomikas ministrija kā atbildīgā iestāde, saskaņojot no CFLA saņemto  informāciju par ierosinātajiem projekta līguma  grozījumiem un iesniegto aktuālo informāciju par sasniegtajiem rādītājiem,  pārliecināsies, lai visi projekti kopā sasniegtu noteiktos sasniedzamos SAM līmeņa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2.apakšpunktu "izslēgt nosacījumu par papildu finanšu korekcijas iespējamību finansējuma saņēmējam" anotācijas tekstā kā pamatojums 63. punkta dzēšanai ir norādīts, ka: “lai netiktu piemērotas papildu finanšu korekcijas par projektos norādīto plānoto rādītāju nesasniegšanu, jo [..] Vadlīnijas jau ir noteiktas finanšu korekcijas[..] ja plānoto rādītāju vērtības sasniegums ir vienāds vai zemās par 65 %”.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pamatotu pamatojumu MK noteikuma 63.punkta dzēšanai, t.sk. sniegt skaidrojumu definējumam - “papildu finanšu korekcijas”. Papildus vēršam uzmanību, ka neatbilstības un finanšu korekcijas piemērošana ir neatkarīgs process, pārkāpuma konstatēšanas procesā neatbilstība var tiks konstatēta, neatkarīgi no tā vai punkts tiks dzēsts no SAM noteikumiem vai netiks.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Ekonomikas ministrija atsauc MK noteikumu 63. punkta dzēšanu. Ar Noteikumu projektu tiek precizēts MK noteikumu Nr. 365 63. punkts, kas paredz - ja projektā faktiski apgūtais finansējuma apjoms pēc noslēguma pārskata apstiprināšanas ir mazāks nekā sākotnēji iesniegtajā projekta iesniegumā plānotais, tad jānodrošina, ka projekta ietvaros faktiski sasniegtie rādītāji (komersantu skaits un apmācīto darbinieku skaits) nodrošina sniegumu specifiskā atbalsta mērķa kopējo plānoto rādītāju sasniegšanu. Minētajā gadījumā projektam apstiprināto intensitāti un finansējuma apjomu samazina, pieprasot starpposma vai noslēguma maksājumu, atbilstoši faktiskajam apmācīto nodarbināto skaitam no sīkajiem (mikro), mazajiem, vidējiem un lielajiem komersantiem.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2.apakšpunktā "izslēgt nosacījumu par papildu finanšu korekcijas iespējamību finansējuma saņēmējam" tiek norādīts, ka CFLA veic līgumu grozījumus ar finansējuma saņēmējiem samazinot projekta līmenī noteiktos sasniedzamos rādītājus attiecībā pret plānotajiem sākumā noteiktajiem sasniedzamajiem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EM ir veikusi Finansējuma saņēmēju iesniegtās informācijas apkopošanu par sasniegtajiem rādītājiem un ir secinājusi, ka kopējais sasniedzamais rādītājs SAM ietvaros gan 1.2.2.3. pasākumā, gan 13.1.6. SAM ir sasniegts, lūdzam izvērtēt vai līguma grozījumos, sasniedzamos rādītājus, nav nepieciešams grozīt pret faktiski sasniegtajiem rādītājiem, t.sk. ņemot vērā plānotos sākumā noteiktos sasniedzamos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skaidrojam, ka Ekonomikas ministrija piekrīt, ka CFLA un Finansējuma saņemtajiem savstarpēji noslēgtajos līgumos būtu nepieciešams grozīt rādītājus, tostarp, vērtējot, vai ir iespējams noteikt plānoto rādītāju sniegumu pret faktiski sasniegtajiem rādītājiem. Vienlaikus, pieņemot lēmumu par konkrētās vērtības noteikšanu, ir būtiski vērtēt, vai  SAM līmenī tiek sasniegti noteiktie sasniedzami rādītājus, nodrošinot, ka visi projekti kopā sasniedz SAM līmeņa rādītājus. Ekonomikas ministrijas rīcībā ir informācija tikai uz 01.07.2023. Līdz ar to Ekonomikas ministrijas ieskatā CFLA kā līgumslēdzējam ir jāapzina finansējuma saņēmēja sasniegtos aktuālus rādītājus un jāpieņem lēmums par turpmāko rīcību rādītāju samazināšanā attiecībā pret katru finansējuma saņēmēju, to saskaņojot ar Ekonomikas ministriju kā atbildīgo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precizēt anotācijas teikumu: </w:t>
            </w:r>
            <w:r w:rsidR="00000000" w:rsidRPr="00000000" w:rsidDel="00000000">
              <w:rPr>
                <w:i w:val="1"/>
                <w:rtl w:val="0"/>
              </w:rPr>
              <w:t xml:space="preserve">"Uz 2023. gada 10. maijā ERAF ietvaros ir atbalstīti 3 komersanti, kas saņem grantus, un 417 personas, kuras saņem nefinansiālu atbalstu.",</w:t>
            </w:r>
            <w:r w:rsidR="00000000" w:rsidRPr="00000000" w:rsidDel="00000000">
              <w:rPr>
                <w:rtl w:val="0"/>
              </w:rPr>
              <w:t xml:space="preserve"> ņemot vērā, ka tie ir pretrunā ar KPVIS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dzēšot vairākas reizes norādītos 13.1.6. SAM ietvaros sasniedzamos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dzēšot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mērķis ir samazināt tikai 13.1.6. SAM rādītāju vērtības, lūdzam precizēt anotāciju, dzēšot informāciju par iespēju finansējuma saņēmējiem, kuriem ir aktuāli, samazināt projektos plānotos rādītājus, kā arī papildināt anotāciju ar informāciju, ka būs nepieciešams veikt projekta Nr. 1.2.2.3/16/I/003 vienošanās grozījumus, samazinot 13.1.6. SAM rādītājus atbilstoši veiktajiem grozījumiem MK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anotācijā norādīto: </w:t>
            </w:r>
            <w:r w:rsidR="00000000" w:rsidRPr="00000000" w:rsidDel="00000000">
              <w:rPr>
                <w:i w:val="1"/>
                <w:rtl w:val="0"/>
              </w:rPr>
              <w:t xml:space="preserve">"[..] nepārsniedzot MK rīkojumā Nr. 259 iekļautos REACT-EU rādītājus - Personu skaits, kuras saņem nefinansiālu atbalstu (1008), Atbalstīto komersantu skaits (170), Atbalstīto komersantu skaits, kas saņem grantus (170). CFLA iespējams arī samazināt ERAF rādītājus, nepārsniedzot  MK rīkojumā Nr. 259 noteiktos ERAF rādītājus par personu skaitu, kuras saņem nefinansiālu atbalstu (34 320.00, 1.2.2.3. pasākumam 11 080), Atbalstīto komersantu skaitu (1300), Atbalstīto komersantu skaits, kas saņem grantus (1300) [..]</w:t>
            </w:r>
            <w:r w:rsidR="00000000" w:rsidRPr="00000000" w:rsidDel="00000000">
              <w:rPr>
                <w:rtl w:val="0"/>
              </w:rPr>
              <w:t xml:space="preserve">", lūdzam redakcionāli precizēt, jo pasākuma ietvaros ir jānodrošina, lai visi projekti kopā sasniegtu MK noteikumos par pasākuma īstenošanu noteiktos rādītājus, kas savukārt veicinātu Darbības programmā paredzēto 1.2.2. SAM un 13.1.6. SAM rādītāju sasniegšanu. Papildus norādām, ka attiecībā uz rādītāju "Atbalstīto komersanu skaits" un "Atbalstīto komersantu skaits, kas saņem grantus" pasākuma ietvaros atbalstītais komersants tiek uzskaitīts SAM līmenī tikai vienu reizi, taču viens un tas pats komersants var tikt atbalstīts vairākos projektos un pasākumos.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teikumu: </w:t>
            </w:r>
            <w:r w:rsidR="00000000" w:rsidRPr="00000000" w:rsidDel="00000000">
              <w:rPr>
                <w:i w:val="1"/>
                <w:rtl w:val="0"/>
              </w:rPr>
              <w:t xml:space="preserve">"Noteikumu projekts paredz veikt tehniskus precizējumus, precizējot  MK noteikumos esošos noteiktos rādītājus atbilstoši Nr. 365 MK rīkojumā Nr. 259 noteiktajiem REACT-EU samazinātajiem specifiskajiem atbalsta rādītājiem, kas jāsasniedz līdz 2023. gada 31. decembrim: - Atbalstīto komersantu skaits : 170;- Atbalstīto komersantu skaits, kas saņem grantus: 170;- Personu skaits, kuras saņem nefinansiālu atbalstu: 1008.", </w:t>
            </w:r>
            <w:r w:rsidR="00000000" w:rsidRPr="00000000" w:rsidDel="00000000">
              <w:rPr>
                <w:rtl w:val="0"/>
              </w:rPr>
              <w:t xml:space="preserve">skaidri norādot, ka minētās vērtības ir 13.1.6.SAM kopējās plānotās vērtības atbilstoši Darbības programmas grozījumiem un cik no tām ir paredzēts sasniegt 1.2.2.3. pasākumā.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anotācijā nnosakot skaidri, ka minētais REACT-EU samazinājums ir 13.1.6. SAM kopējās plānotās vērtības. Papildus ir minēts cik konkrēti MKN Nr.365 plānots samazināt un kādas vērtības būs turpmāk.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w:t>
            </w:r>
            <w:r w:rsidR="00000000" w:rsidRPr="00000000" w:rsidDel="00000000">
              <w:rPr>
                <w:i w:val="1"/>
                <w:rtl w:val="0"/>
              </w:rPr>
              <w:t xml:space="preserve">"Kopš MK noteikumu Nr. 365 ieviešanas brīža 2023. gada 10.maijā REACT- EU ietvaros ir atbalstīts 59 komersants, kas saņem grantus, un 109 personas, kuras saņem nefinansiālu atbalstu. Savukārt 2023. gada 10. maijā ERAF ietvaros ir atbalstīti 3 komersanti, kas saņem grantus, un 417 personas, kuras saņem nefinansiālu atbalstu."</w:t>
            </w:r>
            <w:r w:rsidR="00000000" w:rsidRPr="00000000" w:rsidDel="00000000">
              <w:rPr>
                <w:rtl w:val="0"/>
              </w:rPr>
              <w:t xml:space="preserve"> un norādīt skaidru informāciju, kādi ir 1.2.2.3. pasākuma faktiski sasniegtie iznākuma rādītāji līdz noteiktajam laika periodam.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skaidri norādot MK noteikumu 365 ietvaros paredzēto sasniedzamos iznākuma rādītājus un līdz šim sasniegtie.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grozījumi tiek veikti ar mērķi novērst rādītāju nesasniegšanu, lūdzam pārbaudīt un veikt nepieciešamās korekcijas anotācijas 1.3. sadaļas "Pašreizējā situācija, problēmas un risinājumi" "Problēmas un risinājumi" "Problēmas apraksts" otrajā rindkopā, tādējādi nepārprotami norādot, ka grozījumi ir nepieciešami, ka pastāv risks nevis sasniegt, bet nesasniegt šobrīd noteiktos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un nepieciešamības gadījumā veikt korekcijas anotācijas 1.3. sadaļas "Pašreizējā situācija, problēmas un risinājumi" "Problēmas un risinājumi" "Problēmas apraksts" pirmajā rindkopā aizstājot vārdus un ciparus "MK noteikumi Nr. 617" ar vārdiem un cipariem "MK noteikumi Nr. 365".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un vietās kur bija MK noteikumi Nr.617 aizstāts ar vārdiem un cipariem MK noteikumi Nr. 365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22.2.</w:t>
            </w:r>
            <w:r w:rsidR="00000000" w:rsidRPr="00000000" w:rsidDel="00000000">
              <w:rPr>
                <w:rtl w:val="0"/>
              </w:rPr>
              <w:t xml:space="preserve"> un </w:t>
            </w:r>
            <w:r w:rsidR="00000000" w:rsidRPr="00000000" w:rsidDel="00000000">
              <w:rPr>
                <w:rtl w:val="0"/>
              </w:rPr>
              <w:t xml:space="preserve">22.3.</w:t>
            </w:r>
            <w:r w:rsidR="00000000" w:rsidRPr="00000000" w:rsidDel="00000000">
              <w:rPr>
                <w:rtl w:val="0"/>
              </w:rPr>
              <w:t xml:space="preserve"> apakšpunktā</w:t>
            </w:r>
            <w:r w:rsidR="00000000" w:rsidRPr="00000000" w:rsidDel="00000000">
              <w:rPr>
                <w:rtl w:val="0"/>
              </w:rPr>
              <w:t xml:space="preserve"> minēto 13.1.6. specifiskā atbalsta mērķa finansēto atbalstāmo darbību ietvaros līdz 2023. gada 31. decembrim ir sasniedzami šādi uzraudzības rādītāji un to vērtības: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MK noteikumu 10.</w:t>
            </w:r>
            <w:r w:rsidR="00000000" w:rsidRPr="00000000" w:rsidDel="00000000">
              <w:rPr>
                <w:vertAlign w:val="superscript"/>
                <w:rtl w:val="0"/>
              </w:rPr>
              <w:t xml:space="preserve">1</w:t>
            </w:r>
            <w:r w:rsidR="00000000" w:rsidRPr="00000000" w:rsidDel="00000000">
              <w:rPr>
                <w:rtl w:val="0"/>
              </w:rPr>
              <w:t xml:space="preserve"> punkta redakciju, paredzot, ka minētajā punktā uzraudzības rādītājus plāno sasniegt šo noteikumu ietvaros, nevis 13.1.6.SAM.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lai skaidri nolasītu sasniegtos rādītājus šo noteikumu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22.2.</w:t>
            </w:r>
            <w:r w:rsidR="00000000" w:rsidRPr="00000000" w:rsidDel="00000000">
              <w:rPr>
                <w:rtl w:val="0"/>
              </w:rPr>
              <w:t xml:space="preserve"> un </w:t>
            </w:r>
            <w:r w:rsidR="00000000" w:rsidRPr="00000000" w:rsidDel="00000000">
              <w:rPr>
                <w:rtl w:val="0"/>
              </w:rPr>
              <w:t xml:space="preserve">22.3.</w:t>
            </w:r>
            <w:r w:rsidR="00000000" w:rsidRPr="00000000" w:rsidDel="00000000">
              <w:rPr>
                <w:rtl w:val="0"/>
              </w:rPr>
              <w:t xml:space="preserve"> apakšpunktā</w:t>
            </w:r>
            <w:r w:rsidR="00000000" w:rsidRPr="00000000" w:rsidDel="00000000">
              <w:rPr>
                <w:rtl w:val="0"/>
              </w:rPr>
              <w:t xml:space="preserve"> minēto 13.1.6. specifiskā atbalsta mērķa finansēto atbalstāmo darbību ietvaros līdz 2023. gada 31. decembrim šo noteikumu ietvaros ir sasniedzami šādi uzraudzības rādītāji un to vērtības: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58.3. šo noteikumu </w:t>
            </w:r>
            <w:r w:rsidR="00000000" w:rsidRPr="00000000" w:rsidDel="00000000">
              <w:rPr>
                <w:rtl w:val="0"/>
              </w:rPr>
              <w:t xml:space="preserve">13.3.</w:t>
            </w:r>
            <w:r w:rsidR="00000000" w:rsidRPr="00000000" w:rsidDel="00000000">
              <w:rPr>
                <w:rtl w:val="0"/>
              </w:rPr>
              <w:t xml:space="preserve"> apakšpunktā minētā finansējuma saņēmēja īstenotajām apmācībām: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dažādās punkta interpretācijas par atbalstu kas saistīts ar PVN un to, ka pēc AI sniegtajām atbildēm nav skaidrs, kā tiek noteikts atbalsta apmērs komersantiem saistībā ar šo noteikumu 33.1.1.4.1. apakšpunktā minēto ārpakalpojuma izmaksām, kā arī to, ka faktiski atbalsts tiek piešķirts neslēdzot trīspusējos līgumus, kā tas bija minēts anotācijā, lūdzam anotācijā skaidrot, kā tiek piešķirts atbalsts par konkrēto ārpakalpojumu un PVN, kas minēts noteikumu 33.1.1.4.1. apakšpunktā, vai attiecīgi grozīt šos MK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skaidrojam, ka attiecībā uz šo noteikumu normu apmācību pakalpojumu sniedzēji  neizrādīja interesi sniegt apmācību pakalpojumus slēdzot trīspusēju līgumu starp finansējuma saņēmēju, gala labuma guvēju un pakalpojuma sniedzēju, jo tas paaugstina riskus pakalpojuma sniedzējam, proti, ja gala labuma guvējs neizpilda saistības pakalpojuma sniedzējs nesaņem samaksu par sniegto pakalpojumu.  MK noteikumu 33.1.1.4.1. nosaka, ka  LIAA ir attiecināmas ārpakalpojumā iepirkto apmācību maksa un savukārt 33.3.punkts nosaka, ka projekta ietvaros  ir pievienotās vērtības nodoklis ir attiecināms, līdz ar to iepirkuma rezultātā noslēgtā līguma PVN daļa tiek attiecināta no projekta. LIAA gala labuma guvējiem atbalstu sniedz slēdzot līgumu ar par apmācībām un uzskaita atbalstu atbilstoši MK noteikumos norādītajām intensitātēm. Atbalsta summa tiek aprēķināta no ārpakalpojuma summas bez  pievienotās vērtības nodokļa, jo LIAA atbilstoši likumam par pievienotās vērtības nodokli nav tiesīga piemērot PVN sniegtajam pakalpojumam, proti, nodrošinātajām apmācībām.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58.3. šo noteikumu </w:t>
            </w:r>
            <w:r w:rsidR="00000000" w:rsidRPr="00000000" w:rsidDel="00000000">
              <w:rPr>
                <w:rtl w:val="0"/>
              </w:rPr>
              <w:t xml:space="preserve">13.3.</w:t>
            </w:r>
            <w:r w:rsidR="00000000" w:rsidRPr="00000000" w:rsidDel="00000000">
              <w:rPr>
                <w:rtl w:val="0"/>
              </w:rPr>
              <w:t xml:space="preserve"> apakšpunktā minētā finansējuma saņēmēja īstenotajām apmācībām: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Šo noteikumu </w:t>
            </w:r>
            <w:r w:rsidR="00000000" w:rsidRPr="00000000" w:rsidDel="00000000">
              <w:rPr>
                <w:rtl w:val="0"/>
              </w:rPr>
              <w:t xml:space="preserve">13.3.</w:t>
            </w:r>
            <w:r w:rsidR="00000000" w:rsidRPr="00000000" w:rsidDel="00000000">
              <w:rPr>
                <w:rtl w:val="0"/>
              </w:rPr>
              <w:t xml:space="preserve"> apakšpunktā</w:t>
            </w:r>
            <w:r w:rsidR="00000000" w:rsidRPr="00000000" w:rsidDel="00000000">
              <w:rPr>
                <w:rtl w:val="0"/>
              </w:rPr>
              <w:t xml:space="preserve"> minētā finansējuma saņēmēja īstenotajām apmācībām maksimālā pieļaujamā 13.1.6. specifiskā atbalsta mērķa finansējuma intensitāte, ja tiek sniegts </w:t>
            </w:r>
            <w:r w:rsidR="00000000" w:rsidRPr="00000000" w:rsidDel="00000000">
              <w:rPr>
                <w:i w:val="1"/>
                <w:rtl w:val="0"/>
              </w:rPr>
              <w:t xml:space="preserve">de minimis</w:t>
            </w:r>
            <w:r w:rsidR="00000000" w:rsidRPr="00000000" w:rsidDel="00000000">
              <w:rPr>
                <w:rtl w:val="0"/>
              </w:rPr>
              <w:t xml:space="preserve"> atbalsts atbilstoši Komisijas regulai Nr. </w:t>
            </w:r>
            <w:r w:rsidR="00000000" w:rsidRPr="00000000" w:rsidDel="00000000">
              <w:rPr>
                <w:rtl w:val="0"/>
              </w:rPr>
              <w:t xml:space="preserve">1407/2013</w:t>
            </w:r>
            <w:r w:rsidR="00000000" w:rsidRPr="00000000" w:rsidDel="00000000">
              <w:rPr>
                <w:rtl w:val="0"/>
              </w:rPr>
              <w:t xml:space="preserve">, gala labuma guvējam: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dažādās punkta interpretācijas par atbalstu kas saistīts ar PVN un to, ka pēc AI sniegtajām atbildēm nav skaidrs, kā tiek noteikts atbalsta apmērs komersantiem saistībā ar šo noteikumu 33.1.1.4.1. apakšpunktā minēto ārpakalpojuma izmaksām, kā arī to, ka faktiski atbalsts tiek piešķirts neslēdzot trīspusējos līgumus, kā tas bija minēts anotācijā, lūdzam anotācijā skaidrot, kā tiek piešķirts atbalsts par konkrēto ārpakalpojumu un PVN, kas minēts noteikumu 33.1.1.4.1. apakšpunktā, vai attiecīgi grozīt šos MK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skaidrojam, ka attiecībā uz šo noteikumu normu apmācību pakalpojumu sniedzēji  neizrādīja interesi sniegt apmācību pakalpojumus slēdzot trīspusēju līgumu starp finansējuma saņēmēju, gala labuma guvēju un pakalpojuma sniedzēju, jo tas paaugstina riskus pakalpojuma sniedzējam, proti, ja gala labuma guvējs neizpilda saistības pakalpojuma sniedzējs nesaņem samaksu par sniegto pakalpojumu.  MK noteikumu 33.1.1.4.1. nosaka, ka  LIAA ir attiecināmas ārpakalpojumā iepirkto apmācību maksa un savukārt 33.3.punkts nosaka, ka projekta ietvaros  ir pievienotās vērtības nodoklis ir attiecināms, līdz ar to iepirkuma rezultātā noslēgtā līguma PVN daļa tiek attiecināta no projekta. LIAA gala labuma guvējiem atbalstu sniedz slēdzot līgumu ar par apmācībām un uzskaita atbalstu atbilstoši MK noteikumos norādītajām intensitātēm. Atbalsta summa tiek aprēķināta no ārpakalpojuma summas bez  pievienotās vērtības nodokļa, jo LIAA atbilstoši likumam par pievienotās vērtības nodokli nav tiesīga piemērot PVN sniegtajam pakalpojumam, proti, nodrošinātajām apmācībām.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Šo noteikumu </w:t>
            </w:r>
            <w:r w:rsidR="00000000" w:rsidRPr="00000000" w:rsidDel="00000000">
              <w:rPr>
                <w:rtl w:val="0"/>
              </w:rPr>
              <w:t xml:space="preserve">13.3.</w:t>
            </w:r>
            <w:r w:rsidR="00000000" w:rsidRPr="00000000" w:rsidDel="00000000">
              <w:rPr>
                <w:rtl w:val="0"/>
              </w:rPr>
              <w:t xml:space="preserve"> apakšpunktā</w:t>
            </w:r>
            <w:r w:rsidR="00000000" w:rsidRPr="00000000" w:rsidDel="00000000">
              <w:rPr>
                <w:rtl w:val="0"/>
              </w:rPr>
              <w:t xml:space="preserve"> minētā finansējuma saņēmēja īstenotajām apmācībām maksimālā pieļaujamā 13.1.6. specifiskā atbalsta mērķa finansējuma intensitāte, ja tiek sniegts </w:t>
            </w:r>
            <w:r w:rsidR="00000000" w:rsidRPr="00000000" w:rsidDel="00000000">
              <w:rPr>
                <w:i w:val="1"/>
                <w:rtl w:val="0"/>
              </w:rPr>
              <w:t xml:space="preserve">de minimis</w:t>
            </w:r>
            <w:r w:rsidR="00000000" w:rsidRPr="00000000" w:rsidDel="00000000">
              <w:rPr>
                <w:rtl w:val="0"/>
              </w:rPr>
              <w:t xml:space="preserve"> atbalsts atbilstoši Komisijas regulai Nr. </w:t>
            </w:r>
            <w:r w:rsidR="00000000" w:rsidRPr="00000000" w:rsidDel="00000000">
              <w:rPr>
                <w:rtl w:val="0"/>
              </w:rPr>
              <w:t xml:space="preserve">1407/2013</w:t>
            </w:r>
            <w:r w:rsidR="00000000" w:rsidRPr="00000000" w:rsidDel="00000000">
              <w:rPr>
                <w:rtl w:val="0"/>
              </w:rPr>
              <w:t xml:space="preserve">, gala labuma guvējam: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23-TA-1221</w:t>
    </w:r>
    <w:r>
      <w:br/>
    </w:r>
    <w:r w:rsidR="00000000" w:rsidRPr="00000000" w:rsidDel="00000000">
      <w:rPr>
        <w:rtl w:val="0"/>
      </w:rPr>
      <w:t xml:space="preserve">20.10.2023. 09.54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23-TA-1221</w:t>
    </w:r>
    <w:r>
      <w:br/>
    </w:r>
    <w:r w:rsidR="00000000" w:rsidRPr="00000000" w:rsidDel="00000000">
      <w:rPr>
        <w:rtl w:val="0"/>
      </w:rPr>
      <w:t xml:space="preserve">20.10.2023. 09.54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Izziņa_23-TA-1221.docx</dc:title>
</cp:coreProperties>
</file>

<file path=docProps/custom.xml><?xml version="1.0" encoding="utf-8"?>
<Properties xmlns="http://schemas.openxmlformats.org/officeDocument/2006/custom-properties" xmlns:vt="http://schemas.openxmlformats.org/officeDocument/2006/docPropsVTypes"/>
</file>