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25-TA-700: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Uzņēmumu ienākuma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atbalstām Finanšu ministrijas sagatavotos grozījumus, kas paredz izņēmumus procentu maksājumu ierobežojumiem UIN aprēķinā. Vienlaikus aicinām ņemt vērā Publiskās apspriešanas laikā vairāku nozares pārstāvju jau norādīto un pilnībā atcelt šobrīd spēkā esošo 4:1 ierobežojumu (10. panta 1. daļu), kurš nosaka, ka procenti par aizņēmumiem, kas pārsniedz četrkāršotu pašu kapitālu, tiek iekļauti ar nodokli apliekamajā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redzams, ka uzņēmumiem nodoklis par procentu maksājumiem ir jāmaksā jau investīciju posmā, pirms tiek gūti ieņēmumi, kas kavē jaunu projektu īstenošanu. Transfertcenu regulējums jau nodrošina procentu maksājumu atbilstību tirgus līmenim, sekojoši 4:1 ierobežojums ir ne tikai lieks, bet arī kavējošs. Tās atcelšana veicinātu investīciju vidi, vienkāršotu nodokļu politiku un padarītu sistēmu caurspīdīgāku, novēršot nepieciešamību pēc sarežģītu izņēmumu ieviešanas.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anotācijas 6.3.sadaļā izvērtējot potenciālos UIN bāzes erozijas riskus, kā arī būtiski negatīvo ietekmi uz budžeta ieņēmumiem, šāds risinājums, kas paredz izslēgt no likumprojekta UIN likuma 10. panta pirmo daļu, netika virzīts.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atgādina, ka 2024.gada septembrī valdība un sociālie partneri pēc ilgstošām sarunām un savstarpējām konsultācijām vienojās par nodokļu pamatnostādnēm vidējā termiņā, kuras paredzēja virkni izmaiņu Latvijas nodokļu sistēmā, un ir stājušās spēkā 2025.gadā. Iepriekš minētā vienošanās ietver arī apņemšanos, ka nodokļu sistēma netiek būtiski pārskatīta līdz 2028.gadam, jo ir svarīgi saglabāt sistēmas paredzamību nodokļu maksātājiem, potenciālajiem investoriem un citām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LDDK pauž neizpratni par to, ka valdība piedāvā ārpuskārtas nodokļu izmaiņas, kas nav apspriestas ar sociālajiem partneriem, tādējādi ignorējot sociālo dialogu.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atzinumā norādītajam vispārējam apgalvojumam, ka minētie grozījumi nav tikuši apspriesti  ar sociālajiem partneriem. Attiecībā uz jautājumu par nodokļa sloga līdzsvarošanu investoriem - fiziskām personām, ir notikušas diskusijas gan Lielo un stratēģiski nozīmīgo investīciju projektu koordinācijas padomē (2025. gada 14. aprīļa sēde), gan 2025. gada 30. aprīļa Saeimas Budžeta un finanšu (nodokļu) komisijas Eksporta un konkurētspējas apakškomisijas sēdē, kā arī Finanšu ministrija ir organizējusi vairākas sanāksmes, lai ar nozares pārstāvjiem apspriestu minēto jautājumu, kuru laikā ministrija ir prezentējusi arī piedāvājumu risinājumam. Latvijas darba devēju konfederācijas pārstāvji ir piedalījušies gan Saeimas Budžeta un finanšu (nodokļu) komisijas Eksporta un konkurētspējas apakškomisijas sēdē, gan Finanšu ministrijas organizētajās sanāksmēs, tostarp 2024. gada 14. maijā organizētajā sanāksmē, un ir pauduši viedokli par nepieciešamību saglabāt esošos UIN modeli (kas ar paredzētajiem grozījumiem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jautājums par grozījumu veikšanu likuma 10. pantā (palielinātie procentu maksājumi par aizņēmumiem) tika apspriests ar nozares pārstāvjiem, kā arī likumprojekta redakcija tika iesniegta  publiskai apspriešanai.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arī atzīmēt, ka likumprojektā ietvertās normas pēc savas būtības ir labvēlīgas nodokļa maksātājiem, turklāt, alternatīvās UIN likmes piemērošana ir izvēles norma, kas nodokļa maksātājiem dod tiesības izvēlēties to  piemērošanu vai nepiemērošanu, tādējādi neradot tiem papildu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Ekonomikas ministrijas 05.09.2025. vēstulē Nr. 3.3-4/2025/5287N jau sniegto priekšlikumu - paplašināt likumā noteikto subjektu tvērumu, iekļaujot arī uzņēmumus, kuru dalībnieku sastāvā ir ne tikai fiziskās personas, bet pastāv arī juridisko personu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piedāvātais grozījums ietver tikai tos uzņēmumus, kuru visi īpašnieki ir fiziskās personas, būtiski sašaurinot to uzņēmumu skaitu, kuri varēs izvēlēties izmantot grozījumu sniegtās priekšrocības.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Sekojoši, Ekonomikas ministrija aicina svītrot vārdu “tikai” no 4.</w:t>
            </w:r>
            <w:r w:rsidR="00000000" w:rsidRPr="00000000" w:rsidDel="00000000">
              <w:rPr>
                <w:vertAlign w:val="superscript"/>
                <w:rtl w:val="0"/>
              </w:rPr>
              <w:t xml:space="preserve">2</w:t>
            </w:r>
            <w:r w:rsidR="00000000" w:rsidRPr="00000000" w:rsidDel="00000000">
              <w:rPr>
                <w:rtl w:val="0"/>
              </w:rPr>
              <w:t xml:space="preserve"> panta piedāvātās redakcijas. Ja priekšlikums netiek ņemts vērā, aicinām sniegt skaidrojošo pamatojumu tiesību akta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pants. Nodokļa piemērošana nodokļa maksātājiem, kuru dalībnieki ir fiziskās personas.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sākotnējās ietekmes ziņojuma (anotācijas) 1.3. sadaļa ar turpmāk minēto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Alternatīvais regulējums tiek attiecināts tikai uz tiem nodokļa maksātājiem, kuru dalībnieki ir fiziskās personas, lai nodrošinātu, ka minētajam regulējumam ir neitrāla ietekme uz budžeta ieņēmumiem. Vienlaikus jāatzīmē, ka nodokļa ieturēšanu juridisko personu dividenžu ienākumam ierobežo gan Eiropas Savienības tiesību aktos noteiktais regulējums, gan divpusēji noslēgtie līgumi par nodokļu dubultās uzlikšanas un nodokļu nemaksāšanas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w:t>
            </w:r>
            <w:r w:rsidR="00000000" w:rsidRPr="00000000" w:rsidDel="00000000">
              <w:rPr>
                <w:vertAlign w:val="superscript"/>
                <w:rtl w:val="0"/>
              </w:rPr>
              <w:t xml:space="preserve">2</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likumprojekts “Grozījumi Uzņēmumu ienākuma nodokļa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pantā paredzēto pārejas noteikumu 53. punktu piedāvājam redakcionāli precizēt, jo projekta 3. pants paredz papildināt Uzņēmumu ienākuma nodokļa likuma (turpmāk – likums) 10. pantu ar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daļu, proti, tas būs jauns regulējums, nevis grozījumi. Tādējādi pārejas regulējumu nepieciešams izteikt līdzīgi, kā ir izteikts, piemēram, likuma pārejas noteikumu 48. vai 50.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5.pants to izsakot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"Papildināt Pārejas noteikumus ar 53.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"53. Šā likuma 10. panta 4.</w:t>
            </w:r>
            <w:r w:rsidR="00000000" w:rsidRPr="00000000" w:rsidDel="00000000">
              <w:rPr>
                <w:i w:val="1"/>
                <w:vertAlign w:val="superscript"/>
                <w:rtl w:val="0"/>
              </w:rPr>
              <w:t xml:space="preserve">1</w:t>
            </w:r>
            <w:r w:rsidR="00000000" w:rsidRPr="00000000" w:rsidDel="00000000">
              <w:rPr>
                <w:i w:val="1"/>
                <w:rtl w:val="0"/>
              </w:rPr>
              <w:t xml:space="preserve"> un 4.</w:t>
            </w:r>
            <w:r w:rsidR="00000000" w:rsidRPr="00000000" w:rsidDel="00000000">
              <w:rPr>
                <w:i w:val="1"/>
                <w:vertAlign w:val="superscript"/>
                <w:rtl w:val="0"/>
              </w:rPr>
              <w:t xml:space="preserve">2</w:t>
            </w:r>
            <w:r w:rsidR="00000000" w:rsidRPr="00000000" w:rsidDel="00000000">
              <w:rPr>
                <w:i w:val="1"/>
                <w:rtl w:val="0"/>
              </w:rPr>
              <w:t xml:space="preserve"> daļa piemērojama sākot ar pārskata gadu, kas sākas 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53. punktu šādā redakcijā: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25-TA-700</w:t>
    </w:r>
    <w:r>
      <w:br/>
    </w:r>
    <w:r w:rsidR="00000000" w:rsidRPr="00000000" w:rsidDel="00000000">
      <w:rPr>
        <w:rtl w:val="0"/>
      </w:rPr>
      <w:t xml:space="preserve">29.09.2025. 14.22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25-TA-700</w:t>
    </w:r>
    <w:r>
      <w:br/>
    </w:r>
    <w:r w:rsidR="00000000" w:rsidRPr="00000000" w:rsidDel="00000000">
      <w:rPr>
        <w:rtl w:val="0"/>
      </w:rPr>
      <w:t xml:space="preserve">29.09.2025. 14.22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Izziņa_25-TA-700.docx</dc:title>
</cp:coreProperties>
</file>

<file path=docProps/custom.xml><?xml version="1.0" encoding="utf-8"?>
<Properties xmlns="http://schemas.openxmlformats.org/officeDocument/2006/custom-properties" xmlns:vt="http://schemas.openxmlformats.org/officeDocument/2006/docPropsVTypes"/>
</file>