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24-TA-816: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līdz 2024. gada 31. decembrim iznākuma rādītājs: noslēgto līgumu par projektu īstenošanu īpatsvars par ieguldījumiem kultūras un tūrisma objektos – 10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šāds rādītājs nav iekļauts Eiropas Savienības kohēzijas politikas programmā 2021.–2027. gadam, lūdzam to svītrot vai precizēt tā nosaukumu uz nacionālo rādītāju un papildināt anotāciju ar informāciju kā aprēķināmas rādītāja sasniegtās vērtības. Tāpat lūdzam precizēt šī rādītāja sasniegšanas termiņu, ja no anotācijā iekļautās informācijas pareizi secināms, ka atlasi plānots izsludināt tikai pēc Eiropas Komisijas lēmuma par vidusposma pārskatu - t.i. ne agrāk kā 2026.gadā.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11.1. apakšpunktā noteiktais līdz 2024. gada 31. decembrim sasniedzamais rādītājs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iznākuma rādītājs: atbalstīto kultūras un tūrisma objektu skaits – vismaz 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Pasākumam pieejamais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vēl nav pieņemti lēmumi par ES kohēzijas politikas programmas 2021.–2027.gadam elastības finansējuma sadales principiem vai tvērumu ne kopumā, ne attiecībā uz Kultūras ministrijas (turpmāk – KM) pārziņā esošo investīciju elastības finansējumu, attiecīgi KM rosinājums jau šobrīd izmantot elastības finansējumu 5.1.1.6.pasākuma “Kultūras mantojuma saglabāšana un jaunu pakalpojumu attīstība” (5.1.1.6.pasākums) projektu iesniegumu atlasē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saglabāt noteikumu projektā sākotnējo redakciju, kas skaidri paredzēja, ka līdz vidusposma pārskata lēmumiem 5.1.1.6.pasākumam pieejamais ERAF finansējums ir 1 708 903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saskaņojot Informatīvo ziņojumu “Informatīvais ziņojums par Finanšu ministrijas pārziņā esošo Eiropas Savienības fondu un ārvalstu finanšu palīdzības aktualitātēm līdz 2024. gada 1. martam (pusgada ziņojums)”, tika panākta vienošanās, ka Kultūras ministrija virzīs jautājumu par 5.1.1.6. pasākuma elastības finansējuma ātrāku izmantošanu izskatīšanai kādā no tuvākajām ministru ES fondu tematiskajām komitejām. Noteikumu projektā paredzam, ka projektu iesniegumos pasākuma īstenošanai kopējo pasākumam pieejamo finansējumu plāno 8 700 000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Pasākumam pieejamais finansējums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kopējais attiecināmais finansējums ir 8 700 000 </w:t>
            </w:r>
            <w:r w:rsidR="00000000" w:rsidRPr="00000000" w:rsidDel="00000000">
              <w:rPr>
                <w:i w:val="1"/>
                <w:rtl w:val="0"/>
              </w:rPr>
              <w:t xml:space="preserve">euro </w:t>
            </w:r>
            <w:r w:rsidR="00000000" w:rsidRPr="00000000" w:rsidDel="00000000">
              <w:rPr>
                <w:rtl w:val="0"/>
              </w:rPr>
              <w:t xml:space="preserve">(no tā elastības finansējums – 6 689 525 </w:t>
            </w:r>
            <w:r w:rsidR="00000000" w:rsidRPr="00000000" w:rsidDel="00000000">
              <w:rPr>
                <w:i w:val="1"/>
                <w:rtl w:val="0"/>
              </w:rPr>
              <w:t xml:space="preserve">euro</w:t>
            </w:r>
            <w:r w:rsidR="00000000" w:rsidRPr="00000000" w:rsidDel="00000000">
              <w:rPr>
                <w:rtl w:val="0"/>
              </w:rPr>
              <w:t xml:space="preserve">), tai skaitā Eiropas Reģionālās attīstības fonda finansējums 7 395 000 </w:t>
            </w:r>
            <w:r w:rsidR="00000000" w:rsidRPr="00000000" w:rsidDel="00000000">
              <w:rPr>
                <w:i w:val="1"/>
                <w:rtl w:val="0"/>
              </w:rPr>
              <w:t xml:space="preserve">euro </w:t>
            </w:r>
            <w:r w:rsidR="00000000" w:rsidRPr="00000000" w:rsidDel="00000000">
              <w:rPr>
                <w:rtl w:val="0"/>
              </w:rPr>
              <w:t xml:space="preserve">(no tā elastības finansējums – 5 686 097 </w:t>
            </w:r>
            <w:r w:rsidR="00000000" w:rsidRPr="00000000" w:rsidDel="00000000">
              <w:rPr>
                <w:i w:val="1"/>
                <w:rtl w:val="0"/>
              </w:rPr>
              <w:t xml:space="preserve">euro</w:t>
            </w:r>
            <w:r w:rsidR="00000000" w:rsidRPr="00000000" w:rsidDel="00000000">
              <w:rPr>
                <w:rtl w:val="0"/>
              </w:rPr>
              <w:t xml:space="preserve">) un nacionālais finansējums (pašvaldības līdzfinansējums) – ne mazāk kā 1 305 000 </w:t>
            </w:r>
            <w:r w:rsidR="00000000" w:rsidRPr="00000000" w:rsidDel="00000000">
              <w:rPr>
                <w:i w:val="1"/>
                <w:rtl w:val="0"/>
              </w:rPr>
              <w:t xml:space="preserve">euro </w:t>
            </w:r>
            <w:r w:rsidR="00000000" w:rsidRPr="00000000" w:rsidDel="00000000">
              <w:rPr>
                <w:rtl w:val="0"/>
              </w:rPr>
              <w:t xml:space="preserve">(no tā elastības finansējums – 1 003 428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paredzēto risinājumu elastības finansējuma izmantošanai, neatbalstām noteikumu projekta virzību apstiprināšanai Ministru kabinetā, kamēr nav skaidrs konceptuāls lēmums par ES kohēzijas politikas programmas 2021.–2027.gadam vidusposma procesu un elastības finansējuma novirzīšanu. Uzturam iepriekš izteikto iebildumu, ņemot vērā, ka līdz šim vēl nav panākta vienošanās par elastības finansējuma sadales principiem vai tvērumu ne kopumā, ne attiecībā uz Kultūras ministrijas  pārziņā esošo investīciju elastības finansējumu; vienlaikus informējam, ka jautājumu plānots skatīt Eiropas Savienības fondu tematiskajā komitejā š.g. 10.oktobrī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2024. gada 31. oktobra Eiropas Savienības fondu tematiskās komitejas sēdē tika nolemts konceptuāli atbalstīt Finanšu ministrijas piedāvāto scenāriju Eiropas Savienības Kohēzijas politikas programmas 2021.-2027. gadam elastības finansējuma pārdalei, tai skaitā 5.1.1.6. pasākuma elastības finansējuma ātrāku izmantošanu, tādējādi Noteikumu projektā noteikts, ka projektu iesniegumu atlasei ir pieejams finansējums kopējā pasākumam plānotā finansējuma 8 700 000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un pieejamais kopējais attiecināmais finansējums ir 8 700 000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7 395 000 </w:t>
            </w:r>
            <w:r w:rsidR="00000000" w:rsidRPr="00000000" w:rsidDel="00000000">
              <w:rPr>
                <w:i w:val="1"/>
                <w:rtl w:val="0"/>
              </w:rPr>
              <w:t xml:space="preserve">euro </w:t>
            </w:r>
            <w:r w:rsidR="00000000" w:rsidRPr="00000000" w:rsidDel="00000000">
              <w:rPr>
                <w:rtl w:val="0"/>
              </w:rPr>
              <w:t xml:space="preserve">un nacionālais finansējums (pašvaldības līdzfinansējums) – ne mazāk kā 1 305 000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kopējais attiecināmais finansējums ir 8 700 000 </w:t>
            </w:r>
            <w:r w:rsidR="00000000" w:rsidRPr="00000000" w:rsidDel="00000000">
              <w:rPr>
                <w:i w:val="1"/>
                <w:rtl w:val="0"/>
              </w:rPr>
              <w:t xml:space="preserve">euro </w:t>
            </w:r>
            <w:r w:rsidR="00000000" w:rsidRPr="00000000" w:rsidDel="00000000">
              <w:rPr>
                <w:rtl w:val="0"/>
              </w:rPr>
              <w:t xml:space="preserve">(no tā elastības finansējums – 6 689 525 </w:t>
            </w:r>
            <w:r w:rsidR="00000000" w:rsidRPr="00000000" w:rsidDel="00000000">
              <w:rPr>
                <w:i w:val="1"/>
                <w:rtl w:val="0"/>
              </w:rPr>
              <w:t xml:space="preserve">euro</w:t>
            </w:r>
            <w:r w:rsidR="00000000" w:rsidRPr="00000000" w:rsidDel="00000000">
              <w:rPr>
                <w:rtl w:val="0"/>
              </w:rPr>
              <w:t xml:space="preserve">), tai skaitā Eiropas Reģionālās attīstības fonda finansējums 7 395 000 </w:t>
            </w:r>
            <w:r w:rsidR="00000000" w:rsidRPr="00000000" w:rsidDel="00000000">
              <w:rPr>
                <w:i w:val="1"/>
                <w:rtl w:val="0"/>
              </w:rPr>
              <w:t xml:space="preserve">euro </w:t>
            </w:r>
            <w:r w:rsidR="00000000" w:rsidRPr="00000000" w:rsidDel="00000000">
              <w:rPr>
                <w:rtl w:val="0"/>
              </w:rPr>
              <w:t xml:space="preserve">(no tā elastības finansējums – 5 686 097 </w:t>
            </w:r>
            <w:r w:rsidR="00000000" w:rsidRPr="00000000" w:rsidDel="00000000">
              <w:rPr>
                <w:i w:val="1"/>
                <w:rtl w:val="0"/>
              </w:rPr>
              <w:t xml:space="preserve">euro</w:t>
            </w:r>
            <w:r w:rsidR="00000000" w:rsidRPr="00000000" w:rsidDel="00000000">
              <w:rPr>
                <w:rtl w:val="0"/>
              </w:rPr>
              <w:t xml:space="preserve">) un nacionālais finansējums (pašvaldības līdzfinansējums) – 1 305 000 </w:t>
            </w:r>
            <w:r w:rsidR="00000000" w:rsidRPr="00000000" w:rsidDel="00000000">
              <w:rPr>
                <w:i w:val="1"/>
                <w:rtl w:val="0"/>
              </w:rPr>
              <w:t xml:space="preserve">euro </w:t>
            </w:r>
            <w:r w:rsidR="00000000" w:rsidRPr="00000000" w:rsidDel="00000000">
              <w:rPr>
                <w:rtl w:val="0"/>
              </w:rPr>
              <w:t xml:space="preserve">(no tā elastības finansējums – 1 003 428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attiecībā uz to, ka šobrīd vēl nav pieņemti lēmumi par ES kohēzijas politikas programmas 2021.–2027.gadam elastības finansējuma sadales principiem vai tvērumu ne kopumā, ne attiecībā uz Kultūras ministrijas (turpmāk – KM) pārziņā esošo investīciju elastības finansējumu. Attiecīgi, neskatoties uz KM izziņā norādīto ka, saskaņojot Informatīvo ziņojumu “Informatīvais ziņojums par Finanšu ministrijas pārziņā esošo Eiropas Savienības fondu un ārvalstu finanšu palīdzības aktualitātēm līdz 2024.gada 1.martam (pusgada ziņojums)”, tika panākta vienošanās, ka KM virzīs jautājumu par 5.1.1.6.pasākuma elastības finansējuma ātrāku izmantošanu izskatīšanai kādā no tuvākajām ministru ES fondu tematiskajām komitejām, vēršam uzmanību, ka kamēr nav panākat konceptuāla vienošanās par šādu risinājumu, KM rosinājums jau šobrīd izmantot elastības finansējumu 5.1.1.6.pasākuma “Kultūras mantojuma saglabāšana un jaunu pakalpojumu attīstība” (5.1.1.6.pasākums) projektu iesniegumu atlasē nav atbalstāms.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saglabāt noteikumu projektā sākotnējo redakciju, kas skaidri paredzēja, ka līdz vidusposma pārskata lēmumiem 5.1.1.6.pasākumam pieejamais ERAF finansējums ir 1 708 903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saskaņojot Informatīvo ziņojumu “Informatīvais ziņojums par Finanšu ministrijas pārziņā esošo Eiropas Savienības fondu un ārvalstu finanšu palīdzības aktualitātēm līdz 2024. gada 1. martam (pusgada ziņojums)”, tika panākta vienošanās, ka Kultūras ministrija virzīs jautājumu par 5.1.1.6. pasākuma elastības finansējuma ātrāku izmantošanu izskatīšanai kādā no tuvākajām ministru ES fondu tematiskajām komitejām. Noteikumu projektā paredzam, ka projektu iesniegumos pasākuma īstenošanai kopējo pasākumam pieejamo finansējumu plāno 8 700 000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un pieejamais kopējais attiecināmais finansējums ir 8 700 000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7 395 000 </w:t>
            </w:r>
            <w:r w:rsidR="00000000" w:rsidRPr="00000000" w:rsidDel="00000000">
              <w:rPr>
                <w:i w:val="1"/>
                <w:rtl w:val="0"/>
              </w:rPr>
              <w:t xml:space="preserve">euro </w:t>
            </w:r>
            <w:r w:rsidR="00000000" w:rsidRPr="00000000" w:rsidDel="00000000">
              <w:rPr>
                <w:rtl w:val="0"/>
              </w:rPr>
              <w:t xml:space="preserve">un nacionālais finansējums (pašvaldības līdzfinansējums) – ne mazāk kā 1 305 000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28.5.2. objekta darbības stratēģija izstrādāta, piesaistot jomas ekspertus, tādējādi sekmējot vienlīdzīgu piekļuvi kultūras objektiem, veicinot līdztiesību kultūras norišu piekļūstamībā neatkarīgi no personas dzīvesvietas, īpašām vajadzībām un sociālās atstumtības riska.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"īpašām vajadzībām" ar  likumdošanā un normatīvajos aktos lietotajiem terminiem attiecībā uz personām ar invaliditāti: "personas ar invaliditāti" vai "personas ar funkcionāliem traucējumiem". Paskaidrojam, kā cilvēkiem ar dažāda veida funkcionāliem traucējumiem un spējām vajadzības nav īpašas, bet kā visiem – vajadzība pēc kultūrvēsturiskas vietas apmeklējuma iespējas un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"objekta darbības stratēģija izstrādāta, piesaistot jomas ekspertus, tādējādi sekmējot vienlīdzīgu piekļuvi kultūras objektiem, veicinot  kultūras objektu un norišu piekļūstamību visiem apmeklētājiem, neatkarīgi no personas dzīvesvietas, funkcionāliem traucējumiem un piederībai sociālās atstumtības riska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27.5.2. objekta darbības stratēģijā iekļautie risinājumi sekmē vienlīdzīgu piekļuvi kultūras objektiem, veicinot kultūras objektu un norišu piekļūstamību visiem apmeklētājiem, neatkarīgi no personas dzīvesvietas, funkcionāliem traucējumiem un piederībai sociālās atstumtības riska grupām.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28.5.2. objekta darbības stratēģija izstrādāta, piesaistot jomas ekspertus, tādējādi sekmējot vienlīdzīgu piekļuvi kultūras objektiem, veicinot līdztiesību kultūras norišu piekļūstamībā neatkarīgi no personas dzīvesvietas, īpašām vajadzībām un sociālās atstumtības riska.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28.5.2. noteikts, ka objekta darbības stratēģija izstrādāta, piesaistot jomas ekspertus, tādējādi sekmējot vienlīdzīgu piekļuvi kultūras objektiem, veicinot līdztiesību kultūras norišu piekļūstamībā neatkarīgi no personas dzīvesvietas, īpašām vajadzībām un sociālās atstumtības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precīzi noteikt, kādas jomas ekspertus jāpiesaista, lai projekta vērtēšanā nepieļautu vērtētāja brīvu interpretāciju par šo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27.5.2. objekta darbības stratēģijā iekļautie risinājumi sekmē vienlīdzīgu piekļuvi kultūras objektiem, veicinot kultūras objektu un norišu piekļūstamību visiem apmeklētājiem, neatkarīgi no personas dzīvesvietas, funkcionāliem traucējumiem un piederībai sociālās atstumtības riska grupām.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Starptautiskās kultūras pieminekļu un ievērojamu vietu padomes izstrādātos kvalitātes principus Eiropas Savienības finansētiem pārveidojumiem, kas var ietekmēt kultūras mantojumu.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projekta 29.2.apakšpunktu par Starptautiskās kultūras pieminekļu un ievērojamu vietu padomes izstrādātiem kvalitātes principiem vai sniegt šādu informāciju MKN anotācijā, proti, kādi ir šie kvalitātes principi un kā tie ir vērtējami. Vēršam uzmanību, ka 5.1.1.6. pasākuma kritērijos un to piemērošanas metodikā nav iekļauta informācija par Starptautiskās kultūras pieminekļu un ievērojamu vietu padomes izstrādāto kvalitātes principu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Starptautiskās kultūras pieminekļu un ievērojamu vietu padomes izstrādātie kvalitātes principi jau ir integrēti Jaunā Eiropas </w:t>
            </w:r>
            <w:r w:rsidR="00000000" w:rsidRPr="00000000" w:rsidDel="00000000">
              <w:rPr>
                <w:i w:val="1"/>
                <w:rtl w:val="0"/>
              </w:rPr>
              <w:t xml:space="preserve">Bauhaus</w:t>
            </w:r>
            <w:r w:rsidR="00000000" w:rsidRPr="00000000" w:rsidDel="00000000">
              <w:rPr>
                <w:rtl w:val="0"/>
              </w:rPr>
              <w:t xml:space="preserve"> principos.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Starptautiskās kultūras pieminekļu un ievērojamu vietu padomes izstrādātos kvalitātes principus Eiropas Savienības finansētiem pārveidojumiem, kas var ietekmēt kultūras mantojumu.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Regulas Nr.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30.3. apakšpunktā norādīta atsauce uz nesaistošiem dokumentiem (vadlīnijām). Ņemot vērā minēto, lūdzam visā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Regulas Nr. 2021/1060) 47. un 50. pantu un normatīvajiem aktiem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nosaka, ka finansējuma saņēmējs nodrošina projekta īstenošanas komunikācijas un vizuālās identitātes prasības saskaņā ar Regulas Nr.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par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Atbalstāmo darbību un izmaksu attiecināmības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projekts paredz vienkāršotās izmaksas piemērot personāla izmaksām un netiešajām izmaksām, aicinām izvērtēt vienkāršoto izmaksu izstrādes iespējas arī kādām no pārējām plānotajām darbībām vai izmaksām. Ja izstrādāt vienkāršotās izmaksas nav iespējams vai tas ir nelietderīgi no samērīguma viedokļa šajā pasākumā, lūdzam sniegt argumentētu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ietvaros projekta netiešās attiecināmās izmaksas plāno kā vienu izmaksu pozīciju, piemērojot netiešo izmaksu vienoto likmi 15 procentu apmērā no projekta personāla izmaksām. Vienlaikus personāla izmaksas plāno kā vienu izmaksu pozīciju, piemērojot izmaksu vienoto likmi 5 procentu apmērā no projekta tiešajām attiecināmajām izmaksām, bet neieskaitot tiešās personāla izmaksas, saskaņā ar Regulas Nr. 2021/1060 55.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kultūras mantojuma atjaunošanā un kultūras infrastruktūras būvniecībā netiek piemēroti standartizēti būvniecības risinājumi, papildus radot individuālu ēku dizainu un plānojumu, tai skaitā ievērojot Jaunā Eiropas Bauhaus principus, vienkāršoto izmaksu piemērošana pārējām plānotajām darbībām vai izmaksām 5.1.1.6. pasākuma ietvaros nav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Atbalstāmo darbību un izmaksu attiecināmības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Projektā iekļauj atbalstāmās darbības, kas sekmē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 specifiskā atbalsta mērķa un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uzraudzības rādītāju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anotācijā skaidrotā kopumā izriet, ka šī atbalsta pasākuma ietvaros ir plānots sniegt tikai ieguldījumu atbalstu, savukārt no noteikumu projekta 31.2.apakšpunktā iekļautās atbalstāmās darbības - jaunu pakalpojumu izveide, paplašinot kultūras mantojuma saturisko piedāvājumu, var secināt, ka tomēr pasākuma ietvaros plānots sniegt arī 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tā, lai būtu skaidrs, kādam atbalsta veidam šī pasākuma ietvaros plānots sniegt, precizējot noteikumu projekta 31.punktu, iekļaujot tajā atsauci uz Komisijas regulas Nr.651/2014* 53.panta 3.punkta a) apakšpunktā noteikto atbalsta veidu vai arī, ja attiecināms, iekļaujot atsauci arī uz Komisijas regulas Nr.651/2014 53.panta 3.punkta b) apakšpunktu, tostarp papildinot arī noteikumu projektu kopumā ar nosacījumiem, kas attiecas uz darbības atbalsta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*Eiropas Komisijas 20214.gada 17.jūnija regula (ES) Nr. 651/201,  ar ko noteiktas atbalsta kategorijas atzīst par saderīgām ar iekšējo tirgu, piemērojot Līguma 107. un 108.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Neoficiālā saskaņošanā ar Finanšu ministrijas Komercdarbības atbalsta kontroles departamentu panākta vienošanās par Noteikumu projekta 31. punkta saglabāšanu esošajā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precizēta Noteikumu projekta anotācija, skaidrojot, ka 5.1.1.6. pasākuma ietvaros plānots ieguldījumu atbalsts, kas atbilst Regulas Nr. 651/2014 53. panta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Projektā iekļauj atbalstāmās darbības, kas sekmē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 specifiskā atbalsta mērķa un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uzraudzības rādītāju sasniegšanu: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Izmaksas ir attiecināmas no šo noteikumu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33. noteikts, ka izmaksas ir attiecināmas no šo noteikumu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35.2. noteikts, ka projekta tiešās attiecināmās izmaksas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35.2.1. būvprojekta, būvniecības ieceres dokumentācijas, būvprojekta minimālā sastāvā, apliecinājuma kartes vai paskaidrojuma raksta izstrāde visām projektā paredzētajām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35.2.2. kultūrvēsturiskās un arheoloģiskās izpētes un kultūrvēsturiskās inventarizācijas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35.2.3. ar kultūras mantojuma objektu saistītās pakalpojuma un tā tehniskā projekta izstrādes izmaksas; (būvniecību reglamentējošos dokumentos šādu terminoloģiju vairs nelieto)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35.2.4. audita, ekspertīzes un izpētes izmaksas, ja to veikšana ir priekšnosacījums būvprojekta, būvdarbu ieceres dokumentācijas vai būvprojekta minimālā sastāvā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prezentētajā projekta iesnieguma vērtēšanas kritēriju piemērošanas metodikas 4.1.punktā “Projekta īstenošanas gatavības pakāpe” noteikts, ka 4.1. Kritērija vērtēšanai izmanto projekta iesnieguma 2.2.apakšpunktā „Projekta īstenošanas, administrēšanas un uzraudzības apraksts” un 3.3.apakšpunktā „Saskaņa ar horizontālo principu „Ilgtspējīga attīstība” apraksts” norādīto informāciju un papildus iesniegtos dokumentus (tehniskā dokumentācija, t.sk. būvprojekts, būvatļauja, apliecinājuma karte, paskaidrojuma raksts, būvvaldes izziņa, u.c.). Maksimālo punktu skaitu var iegūt, ja ir veikta būvvaldes atzīme par projektēšanas nosacījumu izpildi vai ir izdarīta atzīme par būvniecības ieceres akceptu un par būvniecības darbību ir izsludināts iepirkums, kas nozīmē, ka atbalsta pretendentam ir jāuzsāk darbības būvprojekta izstrādei vēl pirms MK noteikumu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33. punktu nosakot, ka</w:t>
            </w:r>
            <w:r w:rsidR="00000000" w:rsidRPr="00000000" w:rsidDel="00000000">
              <w:rPr>
                <w:rtl w:val="0"/>
              </w:rPr>
              <w:t xml:space="preserve"> izmaksas ir attiecināmas no šo noteikumu spēkā stāšanās, izņemot  šo noteikumu 35.2.1.; 35.2.2.; 35.2.3.; 35.2.4.  punktos minētās attiecināmās izmaksas. Tās attiecināmas no Eiropas Savienības kohēzijas politikas programmas 2021.-2027. gadam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33.punkts izmaksas ir attiecināmas no šo noteikumu spēkā stāšanās, izņemot  šo noteikumu 35.2.1.; 35.2.2.; 35.2.3.; 35.2.4.  punktos minētās attiecināmās izmaksas. Tās attiecināmas no Eiropas Savienības kohēzijas politikas programmas 2021.-2027. gadam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Izmaksas ir attiecināmas no šo noteikumu spēkā stāšanās, izņemot šo noteikumu </w:t>
            </w:r>
            <w:r w:rsidR="00000000" w:rsidRPr="00000000" w:rsidDel="00000000">
              <w:rPr>
                <w:rtl w:val="0"/>
              </w:rPr>
              <w:t xml:space="preserve">34.2.1.</w:t>
            </w:r>
            <w:r w:rsidR="00000000" w:rsidRPr="00000000" w:rsidDel="00000000">
              <w:rPr>
                <w:rtl w:val="0"/>
              </w:rPr>
              <w:t xml:space="preserve">, </w:t>
            </w:r>
            <w:r w:rsidR="00000000" w:rsidRPr="00000000" w:rsidDel="00000000">
              <w:rPr>
                <w:rtl w:val="0"/>
              </w:rPr>
              <w:t xml:space="preserve">34.2.2.</w:t>
            </w:r>
            <w:r w:rsidR="00000000" w:rsidRPr="00000000" w:rsidDel="00000000">
              <w:rPr>
                <w:rtl w:val="0"/>
              </w:rPr>
              <w:t xml:space="preserve">, </w:t>
            </w:r>
            <w:r w:rsidR="00000000" w:rsidRPr="00000000" w:rsidDel="00000000">
              <w:rPr>
                <w:rtl w:val="0"/>
              </w:rPr>
              <w:t xml:space="preserve">34.2.3.</w:t>
            </w:r>
            <w:r w:rsidR="00000000" w:rsidRPr="00000000" w:rsidDel="00000000">
              <w:rPr>
                <w:rtl w:val="0"/>
              </w:rPr>
              <w:t xml:space="preserve"> un </w:t>
            </w:r>
            <w:r w:rsidR="00000000" w:rsidRPr="00000000" w:rsidDel="00000000">
              <w:rPr>
                <w:rtl w:val="0"/>
              </w:rPr>
              <w:t xml:space="preserve">34.2.4. </w:t>
            </w:r>
            <w:r w:rsidR="00000000" w:rsidRPr="00000000" w:rsidDel="00000000">
              <w:rPr>
                <w:rtl w:val="0"/>
              </w:rPr>
              <w:t xml:space="preserve">apakšpunktā</w:t>
            </w:r>
            <w:r w:rsidR="00000000" w:rsidRPr="00000000" w:rsidDel="00000000">
              <w:rPr>
                <w:rtl w:val="0"/>
              </w:rPr>
              <w:t xml:space="preserve"> minētās attiecināmās izmaksas, kas ir attiecināmas no 2021.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tiešās attiecināmās izmaksas, kas sekmē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minētās atbalstāmās darbības,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pasākumā plānoto izmaksu atbilstību Komisijas regulas Nr.651/2014 53.panta nosacījumiem, lūdzam precizēt noteikumu projekta 34.punkta apakšpunktus, iekļaujot tajos atbilstošas atsauces uz konkrēto Komisijas regulas Nr.651/2014 53.panta 4. punkta apakšpunktu. Vienlaikus, ņemot vērā to, ka Komisijas regulas Nr.651/2014 53.panta 4.punkts noteic, ka attiecināmās izmaksas ir izmaksas par ieguldījumiem materiālajos un nemateriālajos aktīvos, aicinām papildināt noteikumu projekta 34.punkta ievaddaļu ar nosacījumu, ka ieguldījumiem materiālajos un nemateriālajos aktīvos jāveido pamatlīdzekļu vērtība.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Neoficiālā saskaņošanā ar Finanšu ministrijas Komercdarbības atbalsta kontroles departamentu panākta vienošanās par Noteikumu projekta 34. punkta saglabāšanu esošajā redakcijā, jo vairākas 5.1.1.6. pasākuma izmaksu pozīcijas var attiecināt uz vairākiem regulas apakšpunktiem.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papildināts ar 43. punktu un precizēta 38. 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tiešās attiecināmās izmaksas, kas sekmē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minētās atbalstāmās darbības,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projekta vadības un īstenošanas personāla izmaksas, kuras saskaņā ar Regulas Nr. 2021/1060 55. panta 1. punktu projekta iesniegumā plāno kā vienu izmaksu pozīciju, piemērojot izmaksu vienoto likmi 5 procentu apmērā no projekta tiešajām attiecināmajām izmaksām, bet neieskaitot tiešās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vadošā iestāde nevar saskaņot personāla izmaksu vienotās likmes 5 procentu apmērā iekļaušanu noteikumu projektā, kamēr attiecīgais vienotās likmes apmērs nav saskaņots ar vadošo iestādi atbilstoši vadošās iestādes vadlīniju Nr. 1.1. “Vadlīnijas par vienkāršoto izmaksu izmantošanas iespējām un to piemērošana Eiropas Savienības kohēzijas politikas programmas 2021.–2027.gadam ietvaros” 55.punktā noteiktajam (</w:t>
            </w:r>
            <w:r w:rsidR="00000000" w:rsidRPr="00000000" w:rsidDel="00000000">
              <w:rPr>
                <w:i w:val="1"/>
                <w:rtl w:val="0"/>
              </w:rPr>
              <w:t xml:space="preserve">AI, paredzot piemērot šo vienotās likmes veidu un apjomu SAM ietvaros, saskaņo šo pieeju ar VI MK noteikumu par SAM īstenošanu izstrādes procesā, bet konkrētā izmaksu vienotā likme, pēc saskaņošanas ar VI, tiek noteikta MK noteikumos par SAM īstenošanu. MK noteikumos nosaka attiecināmo izmaksu pozīcijas, no kurām tiek aprēķināta konkrētā vienotā likme)</w:t>
            </w:r>
            <w:r w:rsidR="00000000" w:rsidRPr="00000000" w:rsidDel="00000000">
              <w:rPr>
                <w:rtl w:val="0"/>
              </w:rPr>
              <w:t xml:space="preserve">. Papildus vēršam uzmanību, ka likmes pamatojums ir jāiekļauj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KM iespējami operatīvi varētu saņemt vienotās likmes saskaņojumu, lūdzam 5 procentu vienotās likmes aprēķinu pēc iespējas ātrāk nosūtīt uz sco@fm.gov.lv saskaņošanai pirms MK noteikumu projekta precizētās versijas virzīšanas TAP. Jautājumu vai konsultāciju nepieciešamības gadījumā aicinām rakstīt uz iepriekš norādīto e-pasta adresi vai sazināties ar vadošās iestādes ekspertiem.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1.3.sadaļas rindkopu, kas sākas ar vārdiem "5.1.1.6. pasākuma ietvaros projekta netiešās attiecināmās izmaksas plāno kā vienu izmaksu pozīciju", precizēt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1.3.sadaļas rindkopu, kas sākas ar vārdiem "5.1.1.6. pasākuma ietvaros projekta netiešās attiecināmās izmaksas plāno kā vienu izmaksu pozīciju", precizēt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ietvaros projekta netiešās attiecināmās izmaksas plāno kā vienu izmaksu pozīciju, piemērojot netiešo izmaksu vienoto likmi 15 procentu apmērā no projekta vadības un īstenošanas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izmaksu vienotās likmes 5 procentu apmērā pamatojums saskaņots ar Finanšu ministriju un 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un īstenošanas personāla izmaksu nodrošināšanai saskaņā ar regulas Nr. 2021/1060 55. panta 1. punktu tiek piemērota izmaksu vienotā likme 5 % apmērā no projekta tiešajām attiecināmajām izmaksām, bet neieskaitot tiešās attiecināmās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izmaksu likmes apmērs tiks piemērots vienādi visiem finansējuma saņēmējiem un vienādi visos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personāla izmaksu likmes apmērs nepārsniedz mēnešalgu grupu viduspunktus valsts un pašvaldību institūcijās nodarbinātajiem ierēdņiem un darbiniekiem un balstās uz Kultūras ministrijas veiktajiem aprēķiniem, ņemot vērā indikatīvi prognozējamās projektu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personāla izmaksu likmes aprēķins ir pamatots ar Kultūras ministrijas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izmaksu likme un piemērošanas nosacījumi ir noteikti 5.1.1.6. pasākuma MK noteikumu 34.1. apakšpunktā un pēc stāšanās spēkā piemērojami atbilstoši šajos MK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kopējo attiecināmo izmaksu apmērs (ERAF finansējums un pašvaldības līdzfinansējums) plānots no 200 001 </w:t>
            </w:r>
            <w:r w:rsidR="00000000" w:rsidRPr="00000000" w:rsidDel="00000000">
              <w:rPr>
                <w:i w:val="1"/>
                <w:rtl w:val="0"/>
              </w:rPr>
              <w:t xml:space="preserve">euro </w:t>
            </w:r>
            <w:r w:rsidR="00000000" w:rsidRPr="00000000" w:rsidDel="00000000">
              <w:rPr>
                <w:rtl w:val="0"/>
              </w:rPr>
              <w:t xml:space="preserve">līdz 2 175 000 </w:t>
            </w:r>
            <w:r w:rsidR="00000000" w:rsidRPr="00000000" w:rsidDel="00000000">
              <w:rPr>
                <w:i w:val="1"/>
                <w:rtl w:val="0"/>
              </w:rPr>
              <w:t xml:space="preserve">euro</w:t>
            </w:r>
            <w:r w:rsidR="00000000" w:rsidRPr="00000000" w:rsidDel="00000000">
              <w:rPr>
                <w:rtl w:val="0"/>
              </w:rPr>
              <w:t xml:space="preserve">, tai skaitā ERAF finansējumu no 170 001 </w:t>
            </w:r>
            <w:r w:rsidR="00000000" w:rsidRPr="00000000" w:rsidDel="00000000">
              <w:rPr>
                <w:i w:val="1"/>
                <w:rtl w:val="0"/>
              </w:rPr>
              <w:t xml:space="preserve">euro </w:t>
            </w:r>
            <w:r w:rsidR="00000000" w:rsidRPr="00000000" w:rsidDel="00000000">
              <w:rPr>
                <w:rtl w:val="0"/>
              </w:rPr>
              <w:t xml:space="preserve">līdz 1 848 750 </w:t>
            </w:r>
            <w:r w:rsidR="00000000" w:rsidRPr="00000000" w:rsidDel="00000000">
              <w:rPr>
                <w:i w:val="1"/>
                <w:rtl w:val="0"/>
              </w:rPr>
              <w:t xml:space="preserve">euro </w:t>
            </w:r>
            <w:r w:rsidR="00000000" w:rsidRPr="00000000" w:rsidDel="00000000">
              <w:rPr>
                <w:rtl w:val="0"/>
              </w:rPr>
              <w:t xml:space="preserve">(maksimālais pieejamais ERAF finansējums), tādējādi projektu vadības nodrošināšanai pieejamais finansējums būtu robežās no 9 456 līdz 102 837 </w:t>
            </w:r>
            <w:r w:rsidR="00000000" w:rsidRPr="00000000" w:rsidDel="00000000">
              <w:rPr>
                <w:i w:val="1"/>
                <w:rtl w:val="0"/>
              </w:rPr>
              <w:t xml:space="preserve">euro </w:t>
            </w:r>
            <w:r w:rsidR="00000000" w:rsidRPr="00000000" w:rsidDel="00000000">
              <w:rPr>
                <w:rtl w:val="0"/>
              </w:rPr>
              <w:t xml:space="preserve">(tai skaitā atalgojums, atvaļinājuma pabalsts, veselības apdrošināšanas izmaksas un redzes korekcijas līdzekļu kompensācijas izmaksas, darba devēja valsts sociālās apdrošināšanas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Kvalitatīvai projektu ieviešanai būtu nepieciešama, piemēram, vecākā projekta vadītāja (39.1. III A amatu saime, 11. mēnešalgu grupa) un grāmatveža (17 III, mēnešalgu grupa 8) iesaiste, algu likmei nepārsniedzot Valsts un pašvaldību institūciju amatpersonu un darbinieku atlīdzības likumā noteikto mēnešalgu grupu skalas viduspunktu. Projektiem pieejamā finansējuma ietvaros to īstenošanas laikā (vidēji 2-3 gadi) vidēji viena projekta ietvaros projekta vadības personāla atalgojumam būtu iespējams piesaistīt finansējumu projekta vadītājam un grāmatvedim vidēji no 0,1 slodzes līdz 1,7  slodzēm. Savukārt, ievērojot nepieciešamību nodrošināt konkurētspējīgu atalgojumu pašvaldībās un motivāciju projekta īstenošanā iesaistītajam personālam, lai nodrošinātu kvalitatīvu projekta īstenošanu un pasākumā paredzēto rādītāju sasniegšanu, papildu finansējums iepriekš minētajam projekta vadības personālam, kā arī papildu personālam (piemēram, iepirkumu speciālists, projekta vadītāja asistents), nepietiekama ERAF finansējuma gadījumā būtu nodrošināms finansējuma saņēmējam sava esošā budžeta ietvaros.Projekta vadības personāla izmaksas, kuras projektā plāno, piemērojot vienoto izmaksu likmi, ir skaidri nodalāmas no pārējām projekta izmaksām, un nepastāv minēto izmaksu pārklāšanās.”.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projekta vadības un īstenošanas personāla izmaksas, kuras saskaņā ar Regulas Nr. 2021/1060 55. panta 1. punktu projekta iesniegumā plāno kā vienu izmaksu pozīciju, piemērojot izmaksu vienoto likmi 5 procentu apmērā no projekta tiešajām attiecināmajām izmaksām, bet neieskaitot tiešās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projekta vadības un īstenošanas personāla izmaksas, kuras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68.a panta 1. punktu projekta iesniegumā plāno kā vienu izmaksu pozīciju, piemērojot izmaksu vienoto likmi 5 procentu apmērā no projekta tiešajām attiecināmajām izmaksām, bet neieskaitot tiešās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35.1. apakšpunktā norādīto regulu uz aktuālo Eiropas Savienības fondu 2021.-2027.gada plānošanas perioda tiesisko regulējumu. Vēršam uzmanību, ka noteikumu projekts izstrādāts, pamatojoties uz Eiropas Savienības fondu 2021.—2027. gada plānošanas perioda vadības likumu, kas izstrādāts saskaņā ar Eiropas Parlamenta un Padomes 2021.gada 24.jūnija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attiecīgi būtu jānorāda šī regula, jo nav juridiski korekti norādīt regulu, kas nosaka nosacījumus Eiropas Savienības struktūrfondu un Kohēzijas fonda 2014.-2020.gada plānošanas periodam. Vienlaikus lūdzam atbilstoši precizēt anotācijas 5.4.sadaļas 1. tabulu "Tiesību akta projekta atbilstība ES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5.4. sadaļas 1. tabula “Tiesību akta projekta atbilstība ES tiesību aktiem”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projekta vadības un īstenošanas personāla izmaksas, kuras saskaņā ar Regulas Nr. 2021/1060 55. panta 1. punktu projekta iesniegumā plāno kā vienu izmaksu pozīciju, piemērojot izmaksu vienoto likmi 5 procentu apmērā no projekta tiešajām attiecināmajām izmaksām, bet neieskaitot tiešās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projekta vadības un īstenošanas personāla izmaksas, kuras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68.a panta 1. punktu projekta iesniegumā plāno kā vienu izmaksu pozīciju, piemērojot izmaksu vienoto likmi 5 procentu apmērā no projekta tiešajām attiecināmajām izmaksām, bet neieskaitot tiešās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vadības un īstenošanas personāla izmaksu likmes apmēru saskaņot ar Finanšu ministriju kā ES fondu vadošo iestādi, kā arī norādīt likmes apmēra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paralēli uzsāksim projekta vadības un īstenošanas personāla izmaksu likmes apmēra saskaņošanu ar Finanšu ministriju kā ES fondu vadošo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projekta vadības un īstenošanas personāla izmaksas, kuras saskaņā ar Regulas Nr. 2021/1060 55. panta 1. punktu projekta iesniegumā plāno kā vienu izmaksu pozīciju, piemērojot izmaksu vienoto likmi 5 procentu apmērā no projekta tiešajām attiecināmajām izmaksām, bet neieskaitot tiešās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35.2.7. ekspertu izmaksas, kas tieši saistītas ar investīcijām infrastruktūrā, būvuzraudzības, autoruzraudzības un arheoloģiskās uzraudzības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informēt, vai noteikumu projekta 35.2.7. un 35.8.2.apakšpunktā minētās ekspertu izmaksas ir uzskatāmas par projekta īstenošanas personālu un vai minētos ekspertus ir plānots piesaistīt caur ārpakalpojumu. Nepieciešamības gadījumā lūdzam pārskatīt precizējumu nepieciešamību minētajos noteikumu projekta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35.8.2. ekspertu konsultāciju izmaksas par dzimumu līdztiesības, personu ar invaliditāti vienlīdzīgu iespēju, vecuma nediskriminācijas, etniskās un citas piederības pamattiesību jautājumiem.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5.1.1.6.  pasākums ir vērsts uz infrastruktūras attīstītības projektiem, lūdzam precizēt 38.8.2.punkta redakciju, norādot ekspertu konsultācijas, kuras attiecas uz vides piekļūstamību,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35.8.2. ekspertu konsultāciju izmaksas par informācijas un vides piekļūstamību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34.9.2. ekspertu, ko finansējuma saņēmējs piesaista ārpakalpojumā, konsultāciju izmaksas par informācijas un vides piekļūstamību.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35.8.2. ekspertu konsultāciju izmaksas par dzimumu līdztiesības, personu ar invaliditāti vienlīdzīgu iespēju, vecuma nediskriminācijas, etniskās un citas piederības pamattiesību jautājumiem.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projekta tiešajās attiecināmajās izmaksās vides pieejamības eksperta konsultāciju izmaksas. Kvalitatīva projekta izstrādei un ieviešanai nepieciešamas konsultācijas visās projekta ieviešanas stadijās: būvprojekta atbilstošāko risinājumu ieteikšanā, izstrādātā būvprojekta izskatīšanā, izbūvētā objekta apsekošanā pirms nodošanas ekspluatācijā. Arī šīm izmaksām jābūt attiecināmām vienlaikus ar būvprojekta izstrādes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35.8.2.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38.8.2. ekspertu konsultāciju izmaksas par vides pieejamības, dzimumu līdztiesības, personu ar invaliditāti vienlīdzīgu iespēju, vecuma nediskriminācijas, etniskās un citas piederības pamattiesību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38.8.2. ekspertu konsultāciju izmaksas par vides pieejamības, dzimumu līdztiesības, personu ar invaliditāti vienlīdzīgu iespēju, vecuma nediskriminācijas, etniskās un citas piederības pamattiesību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projektā veicinātu kultūras piedāvājuma piekļūstamību, atbalstāmas ir ekspertu izmaksas piekļūstamības jautājumu jomā (vides piekļūstamības nodrošināšanai, saskarsmes ar personām ar funkcionāliem traucējumiem nodrošināšanai, informācijas pieejamības un piekļūstamības nodrošināšanai, vieglās valodas principu izmantošanai, kultūras satura piekļūstamības risinājumu cilvēkiem ar redzes, dzirdes, kustību un garīga rakstura traucējumiem nodrošināšanai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34.9.2. ekspertu, ko finansējuma saņēmējs piesaista ārpakalpojumā, konsultāciju izmaksas par informācijas un vides piekļūstamību.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Projektam netiek piemēroti regulas Nr. 651/2014 53. panta nosacījumi jeb sniegtais atbalsts nav uzskatāms par komercdarbības atbalstu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nepamatotas interpretācijas riskus par noteikumu projekta 40.2.un 40.2.3.apakšpunktos iekļauto vērtēšanas kritēriju attiecināmību tikai uz pasākumā atbalstītajiem objektiem, aicinām papildināt minētos noteikumu projekta apakšpunktus aiz vārda "objektā" papildinot ar vārdiem "vai par sniegto pakalpojumu". Atbilstoši aicinām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visus kritērijus attiecinot tikai uz pasākuma ietvaros atbalstītajiem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Projektam netiek piemēroti regulas Nr. 651/2014 53. panta nosacījumi jeb sniegtais atbalsts nav uzskatāms par komercdarbības atbalstu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projektam nav saimnieciska rakstura, jo pašu ieņēmumi atbalstītajā objektā ir 50 procenti vai mazāki par 50 procentiem no kultūras jomas pakalpojumu sniedzēja gada budžeta atbalstītajā objektā;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42.1.apakšpunktu, tā beigas papildinot ar vārdiem "projekta pārskata periodā</w:t>
            </w:r>
            <w:r w:rsidR="00000000" w:rsidRPr="00000000" w:rsidDel="00000000">
              <w:rPr>
                <w:rtl w:val="0"/>
              </w:rPr>
              <w:t xml:space="preserve">", jo šāda veida projektus nepieciešams uzraudzīt visā tā pārskata periodā.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projektam nav saimnieciska rakstura, jo pašu ieņēmumi atbalstītajā objektā ir 50 procenti vai mazāki par 50 procentiem no kultūras jomas pakalpojumu sniedzēja gada budžeta atbalstītajā objektā projekta pārskata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atbalstāmā darbība atbilst vienam vai vairākiem regulas Nr. 651/2014 53. panta 2. punkta “a”, “b”, “c”, “d” vai “e” apakšpunktā norādītajiem mērķiem un darbībām un ir ievēroti regulas Nr. 651/2014 1. panta 2. punkta “c” un “d” apakšpunktā, 3. punktā un 4. punkta “a” apakšpunktā minētie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piemēram, Komisijas regulas Nr.651/2014 1.panta 4.punkta un 2.panta 18.punkta nosacījumi ir jāvērtē/jāpiemēro uzņēmuma grupas līmenī (Komisijas regulas Nr.651/2014 angliskajā versijā nosacījumi, kas ir attiecināmi uz ‘</w:t>
            </w:r>
            <w:r w:rsidR="00000000" w:rsidRPr="00000000" w:rsidDel="00000000">
              <w:rPr>
                <w:b w:val="1"/>
                <w:rtl w:val="0"/>
              </w:rPr>
              <w:t xml:space="preserve">undertaking</w:t>
            </w:r>
            <w:r w:rsidR="00000000" w:rsidRPr="00000000" w:rsidDel="00000000">
              <w:rPr>
                <w:rtl w:val="0"/>
              </w:rPr>
              <w:t xml:space="preserve">’, ir jāpārbauda/jāpiemēro uzņēmuma grupas līmenī), lūdzam noteikumu projekta 44.1. un 25.1. apakšpunktus precizēt, lai nodrošinātu, ka ar terminu "finansējuma saņēmējs" tiek saprasts, ka finansējuma saņēmējs tiek vērtēts grupas līmenī, kā arī pārskatīt pārējos noteikumu punktus. Vienlaikus ar atbilstošu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24.1. un 42.1. apakšpunkts atbilstoši papildināts, vienlaikus 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atbalstāmā darbība atbilst vienam vai vairākiem regulas Nr. 651/2014 53. panta 2. punkta a), b), c), d) vai e) apakšpunktā norādītajiem mērķiem un darbībām un ir ievēroti regulas Nr. 651/2014 1. panta 2. punkta c) un d) apakšpunktā, 3. punktā un 4. punkta a) apakšpunktā minētie nosacījumi, pēdējo nosacījumu vērtējot uzņēmuma grupas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sadarbības iestāde atbalstītajā objektā konstatē komercdarbības atbalstu, tā par to informē finansējuma saņēmēju. Finansējuma saņēmējs 10 darbdienu laikā no informācijas pieprasījuma nosūtīšanas brīža sniedz sadarbības iestādei informāciju, norādot, vai par tām pašām attiecināmajām izmaksām ir plānots piešķirt atbalstu vai, ja tas jau ir piešķirts, norādot atbalsta piešķiršanas datumu, atbalsta sniedzēja nosaukumu, atbalsta pasākumu, plānoto vai piešķirto atbalsta summu un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dzēst vai skaidrot, kā jau īstenotā projektā, par kuru jau ir piešķirts finansējums kā ar saimniecisko darbību nesaistītam projektam, varētu rasties situācija, ka kāds cits vēl plāno piešķirt atbalstu par tām pašām izmaksām vai arī tas ir jau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minētais punkts jāattiecina projekta atlases laikā, tad skaidrojam, ka atlases laikā saziņa ar projekta iesniedzēju tiek veikta atbilstoši citos normatīvajos aktos noteiktajiem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51. punkts ir skatāms kopsakarā ar Noteikumu projekta 50. un 52. punktu. Proti, Noteikumu projekta 51. punktā minētais paskaidro procedūru gadījumā, ja nesaimniecisks projekts tā projekta dzīves cikla laikā ir kļuvis par ar saimniecisku darbību saistītu projektu, un attiecīgi jāvērtē, vai atbalstu tam varētu piešķirt saskaņā ar Komisijas regulas Nr. 651/2014 53. pantu. Šīs procedūras ietvaros ir nepieciešams iegūt informāciju, kas minēta Noteikumu projekta 51. punktā, lai pārliecinātos, ka projektā netiek pārsniegta Komisijas regulas Nr. 651/2014 53. pantā noteiktā atbalsta summa un atbalsta intensitāte, un attiecīgi iespējams piemērot Komisijas regulas Nr. 651/2014 53. pantu. Savukārt, ja Komisijas regulas Nr. 651/2014 53. pantu piemērot nav iespējams, tad iestājas Noteikumu projekta 52. punktā noteiktais par nelikumīgā komercdarbības atbalsta atgūšanas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praksē ir iespējami gadījumi, kad jau īstenotā projektā, par kuru jau ir piešķirts finansējums kā ar saimniecisko darbību nesaistītam projektam, varētu rasties situācija, ka kāds cits vēl plāno piešķirt atbalstu par tām pašām izmaksām vai arī tas ir jau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Noteikumu projekta 51. punktā ietvertais nosacījums neattiecas uz projekta atlases laiku, bet gan uz to brīdi, kad CFLA ir konstatējusi, ka ar saimniecisku darbību nesaistīts projekts tā dzīves cikla laikā ir kļuvis par ar saimniecisku darbību saistītu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anotācijā nav konstatējama informācija par Jaunā Eiropas BAUHAUS principu piemērošanu, lai gan MKN projektā ir iekļauts 29.1.apakšpunkts par tā nodrošināšanu. Vēršam uzmanību, ka  5.1.1.5. pasākuma un 5.1.1.7. pasākuma saistošo MKN anotācijās Bauhaus nepieciešamība ir skaidrota. BAUHAUS principu piemērošana kā specifiskais atbilstības kritērijs ir iekļauts 5.1.1.6. pasākuma kritērijos un kritēriju piemērošanas metodikā.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tiek īstenots, ievērojot: Jaunā Eiropas </w:t>
            </w:r>
            <w:r w:rsidR="00000000" w:rsidRPr="00000000" w:rsidDel="00000000">
              <w:rPr>
                <w:i w:val="1"/>
                <w:rtl w:val="0"/>
              </w:rPr>
              <w:t xml:space="preserve">Bauhaus</w:t>
            </w:r>
            <w:r w:rsidR="00000000" w:rsidRPr="00000000" w:rsidDel="00000000">
              <w:rPr>
                <w:rtl w:val="0"/>
              </w:rPr>
              <w:t xml:space="preserve"> principus: estētiku, ilgtspēju, iekļautību, tai skaitā iekļaujot publiskās ārtelpas attīstības risinājumus apkārtējā ainavā, nodrošinot dabā balstīto risinājumu un universālā dizaina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kultūras pieminekļu un ievērojamu vietu padomes izstrādātos kvalitātes principus Eiropas Savienības finansētiem pārveidojumiem, kas var ietekmēt kultūras mantojumu.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specifisko atbilstības kritēriju Nr. 3.1.“Projekta darbības paredzēts īstenot, ievērojot Jaunā Eiropas </w:t>
            </w:r>
            <w:r w:rsidR="00000000" w:rsidRPr="00000000" w:rsidDel="00000000">
              <w:rPr>
                <w:i w:val="1"/>
                <w:rtl w:val="0"/>
              </w:rPr>
              <w:t xml:space="preserve">Bauhaus</w:t>
            </w:r>
            <w:r w:rsidR="00000000" w:rsidRPr="00000000" w:rsidDel="00000000">
              <w:rPr>
                <w:rtl w:val="0"/>
              </w:rPr>
              <w:t xml:space="preserve"> principus: estētika, ilgtspēja, iekļautība, tai skaitā, nodrošinot publiskās ārtelpas attīstības risinājumu iekļaušanos apkārtējā ainavā, dabā balstīto risinājumu, universālā dizaina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 8.1.8., 8.1.9., 8.1.10., 8.1.12., un 8.2.sadaļu ar informāciju par pasākuma 1.2.3.2.  ietekmi uz horizontālo principu “Vienlīdzība, iekļaušana, nediskriminācija un pamattiesību ievērošana” (turpmāk - HP) atbilstoši Labklājības ministrijas un Tieslietu ministrijas izstrādātajām vadlīnijām horizontālā principa “Vienlīdzība, iekļaušana, nediskriminācija un pamattiesību ievērošana” īstenošanai un uzraudzībai (turpmāk - vadlīnijas) (skatīt šeit: https://www.lm.gov.lv/lv/vadlinijas-horizontala-principa-vienlidziba-ieklausana-nediskriminacija-un-pamattiesibu-ieverosana-istenosanai-un-uzraudzibai-2021-2027,skat.vadlīniju 4.4. sadaļu "MK noteikumu anotācijas aizpildīšana"), iekļaujot vismaz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SAM/pasākuma ietekmi uz HP (saskaņā ar vadlīnijām 1.2.3.2. pasākumam ir netieša ietekme uz HP (skat. vadlīniju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vērtēšanas kritērija veidu, kurš tiks piemērots projektu iesniegumu vērtēšanā (kvalitātes kritērijs, skat. vadlīniju 6.1.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vispārīgām un specifiskām HP darbībām, kuras ir jāparedz SAM ietvaros (skat. vispārīgo un specifisko HP darbību piemērus vadlīniju 7. sadaļā) un kas novērš diskrimināciju, veicina dzimumu līdztiesību, nodrošina piekļūstamību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rādītājiem (skat. vadlīniju 4.pielikumu).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ietekmes uz personu ar invaliditāti vienlīdzīgām iespējām un tiesībām aprakstu atbilstoši LM/TM vadlīnijām [1] , iekļaujot specifiskās un vispārīgās horizontālā principa “Vienlīdzība, iekļaušana, nediskriminācija un pamattiesību ievērošana” (turpmāk - HP VINPI)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LM/TM vadlīnijām [1] pasākumos, kuriem ir netieša ietekme uz HP VINPI un kuru atlases tiek organizētas atklāta atlases veidā, jāparedz  vismaz trīs vispārīgās darbības, vismaz viena specifiskā darbība un vismaz viens HP VINPI rādītājs. Lūdzam precizēt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ietvaros tiks īstenotas darbības, kas veicina personu ar invaliditāti vienlīdzīgām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atlase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procesā personām ar invaliditāti tiks nodrošināta piekļūstamība, tostarp, pielāgota darba vieta un pielāgotas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tīmekļa vietnē, ja tāda ir,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projektēšanas laikā un pirms objekta nodošanas ekspluatācijā publiskajai infrastruktūrai tiks veikts vides un informācijas piekļūstamības pašnovērtējums, kur iegūto punktu skaits nav zemāks par 8 (LM vides un informācijas piekļūstamības pašnovērtējuma metodika pieejama šeit: https://www.lm.gov.lv/lv/vides-pieklustamibas-pasnovertejums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būvnormatīvā LBN 200-21 noteiktajam,  projekta ietvaros tiks īstenotas labās prakses darbības, kas īpaši veicina vides piekļūstamību cilvēkiem ar funkcionāliem traucējumiem (LM vadlīnijas “Labās prakses ieteikumi vides piekļūstamības nodrošināšanai papildus LBN 200-21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8.1.9. sadaļa atbilstoši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ietekmes dzimumu līdztiesību aprakstu atbilstoši LM/TM vadlīnijām [1], iekļaujot specifiskās un vispārīgās horizontālā principa "Vienlīdzība, iekļaušana, nediskriminācija un pamattiesību ievērošana" (turpmāk - HP VINPI)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LM/TM vadlīnijām [1] pasākumos, kuriem ir netieša ietekme uz HP VINPI un kuru atlases tiek organizētas atklāta atlases veidā, jāparedz  vismaz trīs vispārīgās darbības, vismaz viena specifiskā darbība un vismaz viens HP VINPI rādītājs. Lūdzam precizēt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pasākuma ietekmes uz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ietvaros tiks īstenotas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komunikācijas aktivitātes, tiks izvēlēta valoda un vizuālie tēli, kas mazina diskrimināciju un stereotipu veidošanos par kādu no dzimumiem, cilvēkiem ar invaliditāti, vecumu, atšķirīgu rasi, reliģiju vai seksuālo orientāciju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pārvietošanos uz ielas - ietves tiks veidotas ar lēzenu nobraukumu/uzbraukumu, izvairoties no kāpnēm vai, ja tādas ir, tad ar pielāgojumiem, lai būtu izmantojamas, pārvietojoties ar bērnu ratiņiem. Svarīga ir arī soliņu izbūve pie ietvēm, kas ir būtiska ne tikai vecākai paaudzei, bet arī vecākiem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ielu infrastruktūru ir būtisks apgaismojums - lai būtu droši pārvietoties gan no ērtības un drošības kopumā, gan specifiski sievietēm. Piemēram, labs apgaismojums mazina riskus vardarbībai pret sievietēm, aizskaršanai/apdraudējumam. Tas būtu attiecināms arī uz vecāko paaudzi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8.1.10. sadaļa atbilstoši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Kultūras ministrijas ierosinātie grozījumi Eiropas Savienības Kohēzijas politikas programmā 2021.-2027.gadam, kas paredz samazināt 5.1.1.specifiskā atbalsta mērķa "Vietējās teritorijas integrētās sociālās, ekonomiskās un vides attīstības un kultūras mantojuma, tūrisma un drošības veicināšana pilsētu funkcionālajās teritorijās" Kultūras ministrijā pārziņā esošo investīciju iznākuma rādītāja RCO 77 “Atbalstīto kultūras un tūrisma objektu skaits” sasniedzamo vērtību, vēl nav apstiprināti nacionālā līmenī un secīgi Eiropas Komisijā, lūdzam papildināt protokollēmuma projektu ar jaunu punktu piedāvātajā redakcijā, kā arī izsekojamībai izvērstāku informāciju iekļaut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ministrijai informēt Ministru kabinetu par priekšlikumiem rīcībai gadījumā, ja netiek saņemts pozitīvs Eiropas Komisijas lēmums par  grozījumiem Eiropas Savienības Kohēzijas politikas programmā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papildināts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ministrijai informēt Ministru kabinetu par priekšlikumiem rīcībai gadījumā, ja netiek saņemts pozitīvs Eiropas Komisijas lēmums par grozījumiem Eiropas Savienības Kohēzijas politikas programmā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5.1.1.6. pasākuma ietvaros līdz 2029. gada 31. decembrim ir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atbalstīto kultūras un tūrisma objektu skaits – vismaz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rezultāta rādītājs: atbalstīto kultūras un tūrisma vietu apmeklētāji – vismaz 12 000.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Kultūras ministrijas ierosinātie grozījumi Eiropas Savienības Kohēzijas politikas programmā 2021.-2027. gadam, kas paredz samazināt 5.1.1. specifiskā atbalsta mērķa “Vietējās teritorijas integrētās sociālās, ekonomiskās un vides attīstības un kultūras mantojuma, tūrisma un drošības veicināšana pilsētu funkcionālajās teritorijās” Kultūras ministrijā pārziņā esošo investīciju iznākuma rādītāja RCO 77 “Atbalstīto kultūras un tūrisma objektu skaits” sasniedzamo vērtību, vēl nav apstiprināti nacionālā līmenī un secīgi Eiropas Komisijā, ja netiek saņemts pozitīvs Eiropas Komisijas lēmums par  grozījumiem Eiropas Savienības Kohēzijas politikas programmā 2021.-2027. gadam, Kultūras ministrijai informēt Ministru kabinetu par priekšlikumiem atbilstošai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īstenošanas vieta ir plānošanas reģiona attīstības programmā noteiktā pilsētas funkcionālā teritorija.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8.punktu ar nosacījumu, ka projektu īstenošanas vieta ir Latvijas Republikas teritorija.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atbilstoši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īstenošanas vieta ir Latvijas Republika. Projektu īsteno plānošanas reģiona attīstības programmā noteiktā pilsētas funkcionālā teritorijā.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līdz 2024. gada 31. decembrim iznākuma rādītājs: noslēgto līgumu par projektu īstenošanu īpatsvars par ieguldījumiem kultūras un tūrisma objektos – 10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21.punkts paredz dažādus projekta iesniedzējus - gan atvasinātas publiskas personas, gan juridiskas personas, tad lūdzam papildināt noteikumu projekta 11.1.apakšpunktu, kā arī noteikumu projekta 7., 20. un 37.punktu, paredzot, ka tiks noslēgti gan līgumi, gan vienošanās par projekta īstenošanu, lai nodrošinātu atbilstību Eiropas Savienības fondu normatīvajam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11.1. apakšpunkts svītrots, ņemot vērā, ka 11.1. apakšpunktā noteiktais rādītājs nav iekļauts Eiropas Savienības kohēzijas politikas programmā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papildināts Noteikumu projekta 7., 19. un 35.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iznākuma rādītājs: atbalstīto kultūras un tūrisma objektu skaits – vismaz 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plānotais kopējais attiecināmais finansējums sadalījumā pa reģioniem: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atlasi plānots izsludināt līdz Eiropas Komisijas lēmumam par vidusposma pārskatu, lūdzam 13.punkta apakšpunktos norādīt pieejamo finansējumu, izdalot elastības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12. punkts, nodrošinot pasākuma ietvaros izsludinātās projektu iesniegumu atlases projekta iesniedzējiem finansējuma pieejamību pilnā apmērā atbilstoši plānotajam finansējuma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Projektu iesniegumos pasākuma īstenošanai kopējo pasākumam plānoto un pieejamo finansējumu plāno 8 700 000 </w:t>
            </w:r>
            <w:r w:rsidR="00000000" w:rsidRPr="00000000" w:rsidDel="00000000">
              <w:rPr>
                <w:i w:val="1"/>
                <w:rtl w:val="0"/>
              </w:rPr>
              <w:t xml:space="preserve">euro </w:t>
            </w:r>
            <w:r w:rsidR="00000000" w:rsidRPr="00000000" w:rsidDel="00000000">
              <w:rPr>
                <w:rtl w:val="0"/>
              </w:rPr>
              <w:t xml:space="preserve">apmērā, tai skaitā Eiropas Reģionālās attīstības fonda finansējumu 7 395 000 </w:t>
            </w:r>
            <w:r w:rsidR="00000000" w:rsidRPr="00000000" w:rsidDel="00000000">
              <w:rPr>
                <w:i w:val="1"/>
                <w:rtl w:val="0"/>
              </w:rPr>
              <w:t xml:space="preserve">euro </w:t>
            </w:r>
            <w:r w:rsidR="00000000" w:rsidRPr="00000000" w:rsidDel="00000000">
              <w:rPr>
                <w:rtl w:val="0"/>
              </w:rPr>
              <w:t xml:space="preserve">apmērā un nacionālo finansējumu vismaz 1 305 000 </w:t>
            </w:r>
            <w:r w:rsidR="00000000" w:rsidRPr="00000000" w:rsidDel="00000000">
              <w:rPr>
                <w:i w:val="1"/>
                <w:rtl w:val="0"/>
              </w:rPr>
              <w:t xml:space="preserve">euro </w:t>
            </w:r>
            <w:r w:rsidR="00000000" w:rsidRPr="00000000" w:rsidDel="00000000">
              <w:rPr>
                <w:rtl w:val="0"/>
              </w:rPr>
              <w:t xml:space="preserve">apmērā, ar šādu finansējuma sadalījumu pa reģioniem: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pašvaldībai vai tās izveidotai iestādei, ja projektam atbalsta sniegšana specifiskā atbalsta ietvaros kvalificējama kā komercdarbības atbalsts, publiskais finansējums nepārsniedz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minētā aprēķina finanšu iztrūkumu.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18.2.apakšpunktā minētās atsauces precizēšanu no 19.punkta uz 17.punktu, ņemot vērā, ka noteikumu projekta 17.punktā ir aprakstīts, kā aprēķina finanšu iztrūkumu, savukārt noteikumu projekta 19.2.punkts  atspoguļo to, kā tiek noteikta privātā līdzfinansējuma daļa.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pašvaldībai vai tās izveidotai iestādei, ja projektam atbalsta sniegšana specifiskā atbalsta ietvaros kvalificējama kā komercdarbības atbalsts, publiskais finansējums nepārsniedz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minētā aprēķina finanšu iztrūkumu.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ja atbalsta sniegšana specifiskā atbalsta ietvaros nav kvalificējama kā komercdarbības atbalsts, projekta iesniedzēja un sadarbības partnera līdzfinansējums nav mazāks par 15 procentiem no projekta kopējām attiecināmajām izmaksām, ieskaitot valsts budžeta dotāciju atbilstoši normatīvajiem aktiem par valsts budžeta dotācijas piešķiršanu pašvaldībām Eiropas Savienības struktūrfondu un Kohēzijas fonda 2021.-2027. gada plānošanas periodā līdzfinansēto projektu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19.1. apakšpunkta daļu "</w:t>
            </w:r>
            <w:r w:rsidR="00000000" w:rsidRPr="00000000" w:rsidDel="00000000">
              <w:rPr>
                <w:i w:val="1"/>
                <w:rtl w:val="0"/>
              </w:rPr>
              <w:t xml:space="preserve">ieskaitot valsts budžeta dotāciju atbilstoši normatīvajiem aktiem par valsts budžeta dotācijas piešķiršanu pašvaldībām Eiropas Savienības struktūrfondu un Kohēzijas fonda 2021.-2027. gada plānošanas periodā līdzfinansēto projektu īstenošanai</w:t>
            </w:r>
            <w:r w:rsidR="00000000" w:rsidRPr="00000000" w:rsidDel="00000000">
              <w:rPr>
                <w:rtl w:val="0"/>
              </w:rPr>
              <w:t xml:space="preserve">", ņemot vērā, ka no VARAM saņemta informācija, ka 2024.gada budžetā nav paredzēts finansējums valsts budžeta dotāciju piešķiršanai un nav skaidrības par tās pieejamību turpmāk.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ja atbalsta sniegšana specifiskā atbalsta ietvaros nav kvalificējama kā komercdarbības atbalsts, projekta iesniedzēja un sadarbības partnera līdzfinansējums nav mazāks par 15 procentiem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Īpašuma vai turējuma tiesības attiecībā uz atbalstītajiem objektiem nemaina un ieguldījums paliek Latvijas Republikas teritorijā vismaz piecus gadus pēc noslēguma maksājuma veikšanas finansējuma saņēmējam. Īpašuma vai turējuma tiesības nostiprina zemesgrāmatā (izņemot gadījumu, ja pašvaldības īpašums uz normatīvā akta, līguma vai pašvaldības lēmuma pamata ir nodots pašvaldības iestādes – projekta iesniedzēja – pārvaldīšanā vai ja īpašuma tiesības uz īpašuma objektu ir spēkā bez to nostiprināšanas zemesgrāmatā).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23.punktu arī par nomas tiesībām, ņemot vērā, ka noteikumu projekta 20. un 21.punktā paredzēta iespēja veikt ieguldījumus arī tādā īpašumā, kas ir nomā. Vienlaikus lūdzam papildināt arī anotāciju ar atbilstošu informāciju par ieguldījumiem nomātā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atbilstošu informāciju par ieguldījumiem nomātā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Īpašuma, turējuma vai nomas tiesības attiecībā uz atbalstītajiem objektiem nemaina un ieguldījums paliek Latvijas Republikas teritorijā vismaz piecus gadus pēc noslēguma maksājuma veikšanas finansējuma saņēmējam. Īpašuma, turējuma vai nomas tiesības nostiprina zemesgrāmatā (izņemot gadījumu, ja pašvaldības īpašums uz normatīvā akta, līguma vai pašvaldības lēmuma pamata ir nodots pašvaldības iestādes – projekta iesniedzēja – pārvaldīšanā vai ja īpašuma tiesības uz īpašuma objektu ir spēkā bez to nostiprināšanas zemesgrāmatā). Ja īpašuma, turējuma vai nomas tiesības nav nostiprinātas zemesgrāmatā līdz projekta iesnieguma iesniegšanas dienai, tās nostiprina zemesgrāmatā līdz projekta noslēguma maksājuma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projekta izmaksas ir vismaz 1 000 000 </w:t>
            </w:r>
            <w:r w:rsidR="00000000" w:rsidRPr="00000000" w:rsidDel="00000000">
              <w:rPr>
                <w:i w:val="1"/>
                <w:rtl w:val="0"/>
              </w:rPr>
              <w:t xml:space="preserve">euro</w:t>
            </w:r>
            <w:r w:rsidR="00000000" w:rsidRPr="00000000" w:rsidDel="00000000">
              <w:rPr>
                <w:rtl w:val="0"/>
              </w:rPr>
              <w:t xml:space="preserve">, projekta iesniedzējs veic izmaksu un ieguvumu analīzi, ievērojot, ka projekta ekonomiskā ienesīguma norma ir lielāka par sociālo diskonta likmi un projekta ekonomiskā neto pašreizējā vērtība ir lielāka par nulli.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projekta 26.punktu, norādot no kādām projekta izmaksām jāveic Izmaksu un ieguvumu analīze, proti, vai te ir plānots, ka no projekta kopējām attiecināmām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iesniedzējs veic izmaksu un ieguvumu analīzi, ievērojot, ka projekta ekonomiskā ienesīguma norma ir lielāka par sociālo diskonta likmi un projekta ekonomiskā neto pašreizējā vērtība ir lielāka par nulli,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projekta kopējās attiecināmās izmaksas ir vismaz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projekta iesniedzējs pretendē uz komercdarbības atbalstu saskaņā ar Komisijas regulas Nr. 651/2014 53.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iesniedzējs veic izmaksu un ieguvumu analīzi, ievērojot, ka projekta ekonomiskā ienesīguma norma ir lielāka par sociālo diskonta likmi un projekta ekonomiskā neto pašreizējā vērtība ir lielāka par nulli,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iesnieguma iesniegšanas dienā ir apstiprināta atbalstāmā objekta darbības stratēģija, kas apliecina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noteikt vai aprakstīt natbalstāmā objekta darbības stratēģijas struktūru, kāda tā būtu jāizstrādā, lai izslēgtu interpretācijas iespējas vērtēšanas procesā. Līdzi bija noteikta iepriekšējā periodā Nozīmīga kultūrvēsturiskā mantojuma saglabāšanas un attīstības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uz projektu iesniegumu atlases brīdi izstrādās atbalstāmā objekta darbības stratēģijas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iesnieguma iesniegšanas dienā ir apstiprināta atbalstāmā objekta darbības stratēģija, kas apliecina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nodrošina, ka pasākuma ietvaros plānotais atbalsts nepārklājas ar citiem valsts un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30.1.apakšpunktu, ka finansējuma saņēmējs nodrošina ne tikai nepārklāšanās principu ar citiem valsts un ārvalstu finanšu atbalsta instrumentiem, bet nodrošina arī dubultā finansējuma neiestāšanos projekta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dubultā finansējuma neiestāšanās nodrošināma ne tikai attiecībā uz citiem finanšu atbalsta instrumentiem, bet arī konkrētā projekta īstenošanai piešķirtā finansējuma ietvaros darbības nedrīkst tikt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arī anotācijas 1.3.sadaļu.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atbilstoši papildināta.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finansējuma saņēmējs nodrošina 5.1.1.6. pasākuma ietvaros plānotā atbalsta nepārklāšanos ar citiem valsts un ārvalstu finanšu atbalsta instrumentiem un nodrošina dubultā finansējuma neiestāšanos projekta ietvaros, tātad par tām pašām darbībām netiek maksāts no dažādiem valsts un pārbalstu finanšu līdzekļiem. Informācija tiks vērtēta projekta iesnieguma vērtēšanas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nodrošina, ka pasākuma ietvaros plānotais atbalsts nepārklājas ar citiem valsts un ārvalstu finanšu atbalsta instrumentiem un nodrošina dubultā finansējuma neiestāšanos projekta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ievēro principu “vienlīdzība, iekļaušana, nediskriminācija un pamattiesību ievērošana” un uzkrāj datus par projekta ietekmi uz horizontālo principu rādītājiem (ja attiecināms), tai skaitā par objektu skaitu, kuros Eiropas Reģionālās attīstības fonda ieguldījumu rezultātā ir nodrošināta vides un informācijas piekļūstamība;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ievēro horizontālo principu “Vienlīdzība, iekļaušana, nediskriminācija un pamattiesību ievērošana” un uzkrāj datus par projekta horizontālā principa rādītāju:  objektu skaits, kuros Eiropas Reģionālās attīstības fonda ieguldījumu rezultātā ir nodrošināta vides un informācijas piekļūstamība;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ievēro horizontālo principu “Vienlīdzība, iekļaušana, nediskriminācija un pamattiesību ievērošana” un uzkrāj datus par projekta horizontālā principa rādītāju (ja attiecināms): objektu skaits, kuros Eiropas Reģionālās attīstības fonda ieguldījumu rezultātā ir nodrošināta vides un informācijas piekļūstamība;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ar parakstu apliecina, ka nepastāv interešu konflikts.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ka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apstiprināšanas projekta iesniedzējs kļūst par finansējuma saņēmēju. Finansējuma saņēmējam jānodrošina interešu konflikta neesamība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nodrošina interešu konflikta neesamību saskaņā ar Eiropas Parlamenta un Padomes 2024. gada 23. septembra Regulas (ES, Euratom) 2024/2509 par finanšu noteikumiem, ko piemēro Savienības vispārējam budžetam (pārstrādāta redakcija), 61. panta prasībām, kā arī ar parakstu apliecina, ka nepastāv interešu konflikts.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projekta vadības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32.3.apakšpunktu, kā atbalstāmo darbību nosakot projekta vadības un īstenošanas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Atbilstošus precizējumus lūdzam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32.3.projekta vadības un īstenošanas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projekta vadības un īstenošanas nodrošināšana;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Izmaksas ir attiecināmas no šo noteikumu spēkā stāšanās, izņemot šo noteikumu </w:t>
            </w:r>
            <w:r w:rsidR="00000000" w:rsidRPr="00000000" w:rsidDel="00000000">
              <w:rPr>
                <w:rtl w:val="0"/>
              </w:rPr>
              <w:t xml:space="preserve">34.2.1.</w:t>
            </w:r>
            <w:r w:rsidR="00000000" w:rsidRPr="00000000" w:rsidDel="00000000">
              <w:rPr>
                <w:rtl w:val="0"/>
              </w:rPr>
              <w:t xml:space="preserve">, </w:t>
            </w:r>
            <w:r w:rsidR="00000000" w:rsidRPr="00000000" w:rsidDel="00000000">
              <w:rPr>
                <w:rtl w:val="0"/>
              </w:rPr>
              <w:t xml:space="preserve">34.2.2.</w:t>
            </w:r>
            <w:r w:rsidR="00000000" w:rsidRPr="00000000" w:rsidDel="00000000">
              <w:rPr>
                <w:rtl w:val="0"/>
              </w:rPr>
              <w:t xml:space="preserve">, </w:t>
            </w:r>
            <w:r w:rsidR="00000000" w:rsidRPr="00000000" w:rsidDel="00000000">
              <w:rPr>
                <w:rtl w:val="0"/>
              </w:rPr>
              <w:t xml:space="preserve">34.2.3.</w:t>
            </w:r>
            <w:r w:rsidR="00000000" w:rsidRPr="00000000" w:rsidDel="00000000">
              <w:rPr>
                <w:rtl w:val="0"/>
              </w:rPr>
              <w:t xml:space="preserve"> un </w:t>
            </w:r>
            <w:r w:rsidR="00000000" w:rsidRPr="00000000" w:rsidDel="00000000">
              <w:rPr>
                <w:rtl w:val="0"/>
              </w:rPr>
              <w:t xml:space="preserve">34.2.4. </w:t>
            </w:r>
            <w:r w:rsidR="00000000" w:rsidRPr="00000000" w:rsidDel="00000000">
              <w:rPr>
                <w:rtl w:val="0"/>
              </w:rPr>
              <w:t xml:space="preserve">apakšpunktā</w:t>
            </w:r>
            <w:r w:rsidR="00000000" w:rsidRPr="00000000" w:rsidDel="00000000">
              <w:rPr>
                <w:rtl w:val="0"/>
              </w:rPr>
              <w:t xml:space="preserve"> minētās attiecināmās izmaksas, kas ir attiecināmas no Eiropas Savienības kohēzijas politikas programmas 2021.-2027. gadam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juridiskās tehnikas prasībām tiesību normai ir jābūt skaidrai, lai tās lietotājs un piemērotājs gūtu nepārprotamu priekšstatu par normā ietvertajiem pienākumiem un tiesībām, lūdzam precizēt noteikumu projekta 32.punktu, norādot konkrētu datumu, no kura ir attiecināmas noteikumu projekta 34.2.1., 34.2.2., 34.2.3. un 34.2.4.apakšpunktā minētās izmaksas, piemēram, no 2021.gada 1.janvāra.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Izmaksas ir attiecināmas no šo noteikumu spēkā stāšanās, izņemot šo noteikumu </w:t>
            </w:r>
            <w:r w:rsidR="00000000" w:rsidRPr="00000000" w:rsidDel="00000000">
              <w:rPr>
                <w:rtl w:val="0"/>
              </w:rPr>
              <w:t xml:space="preserve">34.2.1.</w:t>
            </w:r>
            <w:r w:rsidR="00000000" w:rsidRPr="00000000" w:rsidDel="00000000">
              <w:rPr>
                <w:rtl w:val="0"/>
              </w:rPr>
              <w:t xml:space="preserve">, </w:t>
            </w:r>
            <w:r w:rsidR="00000000" w:rsidRPr="00000000" w:rsidDel="00000000">
              <w:rPr>
                <w:rtl w:val="0"/>
              </w:rPr>
              <w:t xml:space="preserve">34.2.2.</w:t>
            </w:r>
            <w:r w:rsidR="00000000" w:rsidRPr="00000000" w:rsidDel="00000000">
              <w:rPr>
                <w:rtl w:val="0"/>
              </w:rPr>
              <w:t xml:space="preserve">, </w:t>
            </w:r>
            <w:r w:rsidR="00000000" w:rsidRPr="00000000" w:rsidDel="00000000">
              <w:rPr>
                <w:rtl w:val="0"/>
              </w:rPr>
              <w:t xml:space="preserve">34.2.3.</w:t>
            </w:r>
            <w:r w:rsidR="00000000" w:rsidRPr="00000000" w:rsidDel="00000000">
              <w:rPr>
                <w:rtl w:val="0"/>
              </w:rPr>
              <w:t xml:space="preserve"> un </w:t>
            </w:r>
            <w:r w:rsidR="00000000" w:rsidRPr="00000000" w:rsidDel="00000000">
              <w:rPr>
                <w:rtl w:val="0"/>
              </w:rPr>
              <w:t xml:space="preserve">34.2.4. </w:t>
            </w:r>
            <w:r w:rsidR="00000000" w:rsidRPr="00000000" w:rsidDel="00000000">
              <w:rPr>
                <w:rtl w:val="0"/>
              </w:rPr>
              <w:t xml:space="preserve">apakšpunktā</w:t>
            </w:r>
            <w:r w:rsidR="00000000" w:rsidRPr="00000000" w:rsidDel="00000000">
              <w:rPr>
                <w:rtl w:val="0"/>
              </w:rPr>
              <w:t xml:space="preserve"> minētās attiecināmās izmaksas, kas ir attiecināmas no 2021.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34.2.7. ekspertu, ko finansējuma saņēmējs piesaista ārpakalpojumā, izmaksas, kas tieši saistītas ar investīcijām infrastruktūrā, būvuzraudzības, autoruzraudzības un arheoloģiskās uzraudzības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punktu izdalīt kā atsevišķu punktu 34.3., jo šīs nav projekta pamatojošās dokumentācijas sagatavošanas izmaksas. Kā arī, aicinām dzēst tekstu "ekspertu, ko finansējuma saņēmējs piesaista ārpakalpojumā, izmaksas, kas tieši saistītas ar investīcijām infrastruktūrā", ja nav paredzēta citu ekspertu, ārpus 34.8.2.punktā atrunātajām eksperta izmaksām, piesaiste.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Plānojot projekta tiešās attiecināmās personāla atlīdzības izmaksas, pamatojoties uz darba līgumu vai rīkojumu par pretendenta iecelšanu ierēdņa amatā, finansējuma saņēmējs un sadarbības partneris nodrošina, ka projekta vadības personāls un projekta īstenošanas personāls tiek piesaistīts uz normālu darba laiku vai nepilnu darba laiku, vai daļlaiku ne mazāk kā 30 procentu apmērā no normālā darba laika. Ja personāla atlīdzībai piemēro daļlaika attiecināmības principu, finansējuma saņēmējs veic personāla darba laika uzskaiti par nostrādāto laiku un veiktajām funkcijām.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personāla izmaksas tiek plānotas kā vienotā likme, aicinām svītrot noteikumu projekta 36.punktu. Vēršam uzmanību, ka noteikumu projekta 36.punktā iekļautie nosacījumi ir attiecināmi, ja personāla izmaksas tiek attiecinātas kā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pārskata periodā Kultūras ministrija atbilstoši Kultūras ministrijas izstrādātajai komercdarbības atbalsta piemērošanas metodikai specifiskā atbalsta ietvaros reizi gadā līdz kārtējā gada 1. jūnijam izvērtē, vai kultūras nozares projekts atbilst šo noteikumu </w:t>
            </w:r>
            <w:r w:rsidR="00000000" w:rsidRPr="00000000" w:rsidDel="00000000">
              <w:rPr>
                <w:rtl w:val="0"/>
              </w:rPr>
              <w:t xml:space="preserve">40.1. </w:t>
            </w:r>
            <w:r w:rsidR="00000000" w:rsidRPr="00000000" w:rsidDel="00000000">
              <w:rPr>
                <w:rtl w:val="0"/>
              </w:rPr>
              <w:t xml:space="preserve">apakšpunktā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noteikumu projekta 40.punktu, ņemot vērā, ka noteikumu projekta 41.punktā  minētais izvērtējums pēc būtības skatāms kompleksi pret visiem noteikumu projekta 40.punktā minētajiem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pārskata periodā Kultūras ministrija atbilstoši Kultūras ministrijas izstrādātajai komercdarbības atbalsta piemērošanas metodikai specifiskā atbalsta ietvaros reizi gadā līdz kārtējā gada 1. jūnijam izvērtē, vai kultūras nozares projekts atbilst šo noteikumu 40.punktā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Noteikumu projekta 40. punktam, primāri jāizvērtē, vai projektam ir saimniecisks raksturs, vienlaikus jāņem vērā, ka ne visos projektos jāvērtē atbilstība komercdarbības atbalsta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Projekta pārskata periodā finansējuma saņēmējs atbilstoši Kultūras ministrijas izstrādātajai komercdarbības atbalsta piemērošanas metodikai specifiskā atbalsta ietvaros reizi gadā līdz kārtējā gada 1. jūnijam izvērtē, vai kultūras nozares projekts atbilst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minētajam nosacījumam.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Projekta pārskata periodā finansējuma saņēmējs atbilstoši Kultūras ministrijas izstrādātajai komercdarbības atbalsta piemērošanas metodikai specifiskā atbalsta ietvaros reizi gadā līdz kārtējā gada 1. jūnijam iesniedz sadarbības iestādē informāciju, kas nepieciešama, lai izvērtētu, vai kultūras nozares projekts atbilst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43.punktā ietverto atsauci no 42.punkta uz 42.1.apakšpunktu, jo šī nosacījuma ievērošana attiecas uz gadījumiem, kad projektam nav saimnieciska rakstura, jo pašu ieņēmumi atbalstītajā objektā ir 50 procenti vai mazāki par 50 procentiem no kultūras jomas pakalpojumu sniedzēja gada budžeta atbalstītajā objektā.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Projekta pārskata periodā finansējuma saņēmējs atbilstoši Kultūras ministrijas izstrādātajai komercdarbības atbalsta piemērošanas metodikai specifiskā atbalsta ietvaros reizi gadā līdz kārtējā gada 1. jūnijam izvērtē, vai kultūras nozares projekts atbilst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minētajam nosacījumam.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Projekta pārskata periodā finansējuma saņēmējs atbilstoši Kultūras ministrijas izstrādātajai komercdarbības atbalsta piemērošanas metodikai specifiskā atbalsta ietvaros reizi gadā līdz kārtējā gada 1. jūnijam iesniedz sadarbības iestādē informāciju, kas nepieciešama, lai izvērtētu, vai kultūras nozares projekts atbilst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līdzīgi kā 5.1.1.5. pasākumā un 5.1.1.7. pasākumā par atbildīgo institūciju kultūras nosacījumu izvērtēšanā nebūtu jānosaka Kultūras ministrija, nevis sadarbības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izvērtēja priekšlikumu un skaidro, ka kopš 2014.-2020. gada ES fondu plānošanas perioda CFLA projektos veic arī komercdarbības atbalsta nosacījumu uzraudzību (piemēram, 5.5.1. SAM un 5.6.1. SAM), un ir racionāli, ka komercdarbības uzraudzība tiek veikta neatrauti no kopējā projektu uzraudzības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un 5.1.1.7. pasākumā par komercdarbības atbalsta uzraudzību atbildīgā iestāde ir Kultūras ministrija, jo tā atbalstītajos objektos jau veic komercdarbības nosacījumu ievērošanas uzraudzību neatkarīgi no fondu ieguldījumiem.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Projekta pārskata periodā finansējuma saņēmējs atbilstoši Kultūras ministrijas izstrādātajai komercdarbības atbalsta piemērošanas metodikai specifiskā atbalsta ietvaros reizi gadā līdz kārtējā gada 1. jūnijam izvērtē, vai kultūras nozares projekts atbilst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minētajam nosacījumam.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atbalstāmā darbība atbilst vienam vai vairākiem regulas Nr. 651/2014 53. panta 2. punkta “a”, “b”, “c”, “d” vai “e” apakšpunktā norādītajiem mērķiem un darbībām un ir ievēroti regulas Nr. 651/2014 1. panta 2. punkta “c” un “d” apakšpunktā, 3. punktā un 4. punkta “a” apakšpunktā minētie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mērķi, attiecināmās izmaksas, kā arī tajā plānotās darbības, lūdzam pārskatīt un precizēt noteikumu projekta 44.1.punktā, kā arī citur noteikumu projektā, ietvertās atsauces uz Komisijas regulas Nr.651/2014 53.panta 2.punkta apakšpunktiem.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precizēts arī Noteikumu projekta 42.2.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atbalstāmā darbība atbilst vienam vai vairākiem regulas Nr. 651/2014 53. panta 2. punkta a), b), c), d) vai e) apakšpunktā norādītajiem mērķiem un darbībām un ir ievēroti regulas Nr. 651/2014 1. panta 2. punkta c) un d) apakšpunktā, 3. punktā un 4. punkta a) apakšpunktā minētie nosacījumi, pēdējo nosacījumu vērtējot uzņēmuma grupas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projekta uzraudzību visā projekta pārskata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49.3.apakšpunktu, jo sadarbības iestādes pienākums uzraudzīt projekta īstenošanu izriet no Eiropas Savienības fondu 2021.—2027. gada plānošanas perioda vadības likuma 12.panta trešās daļas 7.punkta, un nav nepieciešams to dublēt šajā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49.3. apakšpunkts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komercdarbības atbalstu sniedz saskaņā ar regulas Nr. 651/2014 53. pantu un ja attiecīgajā projektā vai projekta daļā projekta pārskata periodā ir radusies lielāka peļņa no pamatdarbības (neskaitot samērīgas peļņas daļu, kas atbilst tipiskai peļņai kultūras nozares attiecīgajā jomā Latvijas Republikā), nekā projektā plānots, finansējuma saņēmējs projekta pārskata perioda beigās veic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minētās izmaksu un ieguvumu analīzes pārrēķinu un sadarbības iestādei atmaksā starpību starp faktisko un plānoto peļņu no pamatdarbības.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gadījumos, ja projekta iesniedzējiem ir plānots piešķirt atbalstu atbilstoši Regulas Nr.651/2014 53.pantam, nebūtu lietderīgāk piemērot Regulas Nr.651/2014 53.panta 8.punkta nosacījumu, tādējādi samazinot administratīvo slogu gan finansējuma saņēmējam, gan sadarbības iestadei. Papildus vēršam uzmanību, ka 26.punktā norādīto izmaksu un ieguvumu analīzi ir jāsniedz tikai par projektiem, kuru izmaksas pārsniedz 1 milj.euro.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izvērtējot Regulas Nr. 651/2014 53. panta 8. punkta nosacījumu piemērošanu situācijā, ja atbalsts nepārsniedz 2,2 milj. </w:t>
            </w:r>
            <w:r w:rsidR="00000000" w:rsidRPr="00000000" w:rsidDel="00000000">
              <w:rPr>
                <w:i w:val="1"/>
                <w:rtl w:val="0"/>
              </w:rPr>
              <w:t xml:space="preserve">euro</w:t>
            </w:r>
            <w:r w:rsidR="00000000" w:rsidRPr="00000000" w:rsidDel="00000000">
              <w:rPr>
                <w:rtl w:val="0"/>
              </w:rPr>
              <w:t xml:space="preserve"> secina, ka tas būtu nesamērīgs slogs finansējuma saņēmējam, jo 20% jānodrošina kā brīvi līdzekļi no valsts atbalsta. Ja netiek rēķināts finanšu iztrūkums, ir jau sākotnēji jānosaka 80% atbalsta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projektā, kura izmaksas nepārsniedz 1 milj. </w:t>
            </w:r>
            <w:r w:rsidR="00000000" w:rsidRPr="00000000" w:rsidDel="00000000">
              <w:rPr>
                <w:i w:val="1"/>
                <w:rtl w:val="0"/>
              </w:rPr>
              <w:t xml:space="preserve">euro</w:t>
            </w:r>
            <w:r w:rsidR="00000000" w:rsidRPr="00000000" w:rsidDel="00000000">
              <w:rPr>
                <w:rtl w:val="0"/>
              </w:rPr>
              <w:t xml:space="preserve"> un ir sniegts komercdarbības atbalsts, tāpat nepieciešams veikt izmaksu un ieguvumu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komercdarbības atbalstu sniedz saskaņā ar regulas Nr. 651/2014 53. pantu un ja attiecīgajā projektā vai projekta daļā projekta pārskata periodā ir radusies lielāka peļņa no pamatdarbības (neskaitot samērīgas peļņas daļu, kas atbilst tipiskai peļņai kultūras nozares attiecīgajā jomā Latvijas Republikā), nekā projektā plānots, finansējuma saņēmējs projekta pārskata perioda beigās veic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minētās izmaksu un ieguvumu analīzes pārrēķinu un sadarbības iestādei atmaksā starpību starp faktisko un plānoto peļņu no pamatdarbības.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nav nosakāms viens konkrēts dzīves cikla (pārskata) periods, jo šobrīd pārskata perioda ilgums tiek pielīdzināts Deleģētās regulas 480/2014 minētajiem pārskata periodiem, kas kultūras projektu gadījumā ir kā citām nozarēm - 10-15 gadi, tātad tas nav konkrēts. Tā kā ir prognozējams, ka  lielai daļai projektu nebūs jāgatavo izmaksu un ieguvumu analīze, viena konkrēta  skaitļa nosaukšana dotu skaidrību gan projekta iesniedzējiem, gan sadarbības iestādei, kam jāveic uzraudzība pārskata periodā. Ja projekta iesniedzēji paši varēs izvēlēties dzīves ciklu, aicinām papildināt anotāciju ar teikumu, ka katrs projekts iesniedzējs projekta iesniegumā norāda precīzu pārskata perioda ilgumu, ņemot vērā, ka saskaņā ar 480/2014 regulā minēto pārskata periods ir no 10-15 gadiem un tas ietver projekta īstenošanas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pats nosaka un projekta iesniegumā norāda precīzu pārskata perioda ilgumu, ņemot vērā, ka saskaņā ar Regulā Nr. 480/2014 minēto, pārskata periods ir no 10-15 gadiem un tas ietver projekta īstenošanas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vārdu “pieejamība” aizstāt ar vārdu “piekļūstamība”. 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ietvaros plānoto projektu sasaisti ar Eiropas Savienības stratēģiju Baltijas jūras reģionam, t.sk. ka investīcijām piemērojams Makroreģionālā un jūras baseinu stratēģija kods 03 - Baltijas jūras reģiona stratēģija.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ietvaros  projekti un to ietvaros plānotās darbības veicinās Eiropas Savienības stratēģijā Baltijas jūras reģionam (ESSBJR) noteikto mērķu “Kultūra” sasniegšanu, nodrošinot  Baltijas jūras reģiona kultūras mantojuma saglabāšanu un reģionālās identitātes 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normatīvajiem aktiem pašvaldībām nav tiesības izsniegt aizdevumus, līdz ar to lūdzam precizēt anotāciju un attiecīgo rindkopu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atbalsta principiem ar jēdzienu “līdzekļiem, kas ir brīvi no valsts atbalsta” Projekta kontekstā saprotam tādu finansiālu ieguldījumu no projekta iesniedzēja vai sadarbības partnera līdzekļiem – saimnieciskajiem resursiem vai ārējiem finanšu resursiem, kas nesatur nekādu publisko finansiālo atbalstu. Līdzekļi, kas ir brīvi no valsts atbalsta (tai skaitā nav saņemts valsts vai pašvaldību galvojums, vai valsts aizdevums uz atvieglotiem nosacījumiem) ir iegūti saimnieciskās darbības rezultātā vai piesaistīti kā aizņēmums (ārējais finansējums) uz tirgus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20.punkts paredz maksimālo avansu līdz 50% apmēram, lūdzam anotācijas 1.3.sadaļu papildināt ar pamatojumu, kāpēc nepieciešams lielāks avansa apjoms, nekā Ministru kabineta 2023. gada 25. aprīļa noteikumos Nr. 205 "Valsts budžeta līdzekļu plānošanas kārtība Eiropas Savienības fondu projektu īstenošanai un maksājumu veikšanai 2021.–2027. gada plānošanas periodā" noteiktais maksimālais avanss 30%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noteikumu projekta 20.punkta redakciju, nosakot, ka avansu var piešķirt līdz 50 procentiem no projektam piešķirtā Eiropas Reģionālās attīstības fonda finansējuma, kā arī avansa un starpposma maksājumu kopsumma nepārsniedz 90 procentus no projektam piešķirtā Eiropas Reģionālā attīstības fonda finansējuma. Atbilstošus precizējumus lūdzam veikt arī anotācijas sadaļā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Sadarbības iestāde, ja tai ir pieejami valsts budžeta līdzekļi, izvērtējot plānotā avansa apmēru, tā pamatojumu, pamatojoties uz finansējuma saņēmēja rakstisku avansa pieprasījumu, var piešķirt finansējuma saņēmējam avansu pēc vienošanās par projekta īstenošanu noslēgšanas.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avansa piešķiršanas nosacījumus un avansa apmēru, paredzot, ka sadarbības iestāde, ja tai ir pieejami valsts budžeta līdzekļi, izvērtējot plānotā avansa apmēru, tā pamatojumu, pamatojoties uz finansējuma saņēmēja rakstisku avansa pieprasījumu, var piešķirt finansējuma saņēmējam avansu pēc līguma vai vienošanās par projekta īstenošanu noslēgšanas.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50 procentiem no projektam piešķirtā Eiropas Reģionālā attīstības fonda (turpmāk – ERAF) finansējuma, ievērojot, ka avansu var izmaksāt vairākos maksājumos un avansa un starpposma maksājumu kopsumma nepārsniedz 90 procentus no projektam piešķirtā ERAF finansējuma apmēra. Šāds avansa apjoms pieļaujams, ņemot vērā nepieciešamību nodrošināt pēc iespējas ātrāku projektu īstenošanas uzsākšanu. Ir pieļaujams, ka par projekta būvniecības darbībām projekta iesnieguma iesniegšanas brīdī jau ir noslēgts būvdarbu līgums un uzsākti būvdarbi. Avansa apjoms katram projektam ir nosakāms individuāli. Nosakot projekta avansa apmēru, ņem vērā finansējuma saņēmēja spēja sešu mēnešu laikā pēc avansa maksājuma saņemšanas iesniegt sadarbības iestādē maksājuma pieprasījumu piešķirtā avansa maksājuma apmērā. Avansu var izmaksāt vairākos maksājumos.”.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2.2.sadaļu ar izvērstāku informāciju par pasākumā plānoto investīciju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2.2. sadaļa atbilstoši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informāciju, ka pašvaldība vai tās izveidota iestāde vai pašvaldības kapitālsabiedrība, kuras īpašumā, turējumā, lietošanā vai valdījumā atrodas kultūras mantojuma objekts, kurā plānotas investīcijas, pildīs finansējuma saņēmēja funkcijas, un Kultūras ministrija pildīs atbildīgās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 sadaļa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vai tās izveidota iestāde vai pašvaldības kapitālsabiedrība, kuras īpašumā, turējumā, lietošanā vai valdījumā atrodas kultūras mantojuma objekts, kurā plānotas investīcijas, pildīs finansējuma saņēmēja funkcijas, un Kultūras ministrija pildīs atbildīgās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attiecīgās nozares/ jomas pārstāvošu biedrību, nodibinājumu, nevalstisko organizāciju  iesaisti MK noteikumu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6.1. sadaļa atbilstoši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ES fondu pasākumu īstenošanas MK noteikumu anotācijas aizpildīšanai un, ievērojot vadlīnijās "Horizontālais princips “Vienlīdzība, iekļaušana, nediskriminācija un pamattiesību ievērošana” vadlīnijas īstenošanai un uzraudzībai  (2021-2027)" noteikto, aicinām 8.2. sadaļā papildus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iesniegumu vērtēšanas kritērija veidu </w:t>
            </w:r>
            <w:r w:rsidR="00000000" w:rsidRPr="00000000" w:rsidDel="00000000">
              <w:rPr>
                <w:i w:val="1"/>
                <w:rtl w:val="0"/>
              </w:rPr>
              <w:t xml:space="preserve">(kvalitātes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8.2. sadaļa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kvalitātes kritēriju par horizontālā principa “Vienlīdzība, iekļaušana, nediskriminācija un pamattiesību ievērošana” ievērošanu, kura ietvaros tiek vērtēts, vai projekta iesniedzējam projektā tiek paredzētas vismaz trīs vispārīgas un vismaz viena specifiska horizontālā principa darbība, un noteikts vismaz viens horizontālā principa rādītājs.”.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24-TA-816</w:t>
    </w:r>
    <w:r>
      <w:br/>
    </w:r>
    <w:r w:rsidR="00000000" w:rsidRPr="00000000" w:rsidDel="00000000">
      <w:rPr>
        <w:rtl w:val="0"/>
      </w:rPr>
      <w:t xml:space="preserve">27.11.2024. 16.45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24-TA-816</w:t>
    </w:r>
    <w:r>
      <w:br/>
    </w:r>
    <w:r w:rsidR="00000000" w:rsidRPr="00000000" w:rsidDel="00000000">
      <w:rPr>
        <w:rtl w:val="0"/>
      </w:rPr>
      <w:t xml:space="preserve">27.11.2024. 16.45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Izziņa_24-TA-816.docx</dc:title>
</cp:coreProperties>
</file>

<file path=docProps/custom.xml><?xml version="1.0" encoding="utf-8"?>
<Properties xmlns="http://schemas.openxmlformats.org/officeDocument/2006/custom-properties" xmlns:vt="http://schemas.openxmlformats.org/officeDocument/2006/docPropsVTypes"/>
</file>