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36776" w14:textId="77777777" w:rsidR="00786DAF" w:rsidRDefault="00786DAF" w:rsidP="002C22B9">
      <w:pPr>
        <w:jc w:val="center"/>
        <w:rPr>
          <w:sz w:val="20"/>
        </w:rPr>
      </w:pPr>
    </w:p>
    <w:p w14:paraId="5714F115" w14:textId="77777777" w:rsidR="002C22B9" w:rsidRDefault="002C22B9" w:rsidP="002C22B9">
      <w:pPr>
        <w:jc w:val="center"/>
        <w:rPr>
          <w:sz w:val="20"/>
        </w:rPr>
      </w:pPr>
      <w:r w:rsidRPr="00914649">
        <w:rPr>
          <w:sz w:val="20"/>
        </w:rPr>
        <w:t>Rīgā</w:t>
      </w:r>
    </w:p>
    <w:p w14:paraId="59719CF3" w14:textId="77777777" w:rsidR="002C22B9" w:rsidRDefault="002C22B9" w:rsidP="007F3771">
      <w:pPr>
        <w:rPr>
          <w:spacing w:val="4"/>
          <w:sz w:val="20"/>
        </w:rPr>
      </w:pPr>
    </w:p>
    <w:tbl>
      <w:tblPr>
        <w:tblW w:w="0" w:type="auto"/>
        <w:tblLook w:val="0000" w:firstRow="0" w:lastRow="0" w:firstColumn="0" w:lastColumn="0" w:noHBand="0" w:noVBand="0"/>
      </w:tblPr>
      <w:tblGrid>
        <w:gridCol w:w="450"/>
        <w:gridCol w:w="1785"/>
        <w:gridCol w:w="708"/>
        <w:gridCol w:w="2727"/>
      </w:tblGrid>
      <w:tr w:rsidR="002C22B9" w:rsidRPr="00615936" w14:paraId="265B0968" w14:textId="77777777" w:rsidTr="009F77B9">
        <w:tc>
          <w:tcPr>
            <w:tcW w:w="450" w:type="dxa"/>
            <w:tcBorders>
              <w:top w:val="nil"/>
              <w:left w:val="nil"/>
              <w:bottom w:val="nil"/>
              <w:right w:val="nil"/>
            </w:tcBorders>
          </w:tcPr>
          <w:p w14:paraId="769F0CD0" w14:textId="77777777" w:rsidR="002C22B9" w:rsidRPr="00615936" w:rsidRDefault="002C22B9" w:rsidP="002C22B9">
            <w:pPr>
              <w:tabs>
                <w:tab w:val="left" w:pos="360"/>
                <w:tab w:val="left" w:pos="3960"/>
              </w:tabs>
              <w:rPr>
                <w:sz w:val="20"/>
              </w:rPr>
            </w:pPr>
          </w:p>
        </w:tc>
        <w:bookmarkStart w:id="0" w:name="reg_dat"/>
        <w:tc>
          <w:tcPr>
            <w:tcW w:w="1785" w:type="dxa"/>
            <w:tcBorders>
              <w:top w:val="nil"/>
              <w:left w:val="nil"/>
              <w:bottom w:val="single" w:sz="4" w:space="0" w:color="auto"/>
              <w:right w:val="nil"/>
            </w:tcBorders>
          </w:tcPr>
          <w:p w14:paraId="4EBB6F0A" w14:textId="63DE7684" w:rsidR="002C22B9" w:rsidRPr="00615936" w:rsidRDefault="002C22B9" w:rsidP="002C22B9">
            <w:pPr>
              <w:tabs>
                <w:tab w:val="left" w:pos="3960"/>
              </w:tabs>
              <w:rPr>
                <w:szCs w:val="24"/>
              </w:rPr>
            </w:pPr>
            <w:r w:rsidRPr="00615936">
              <w:rPr>
                <w:szCs w:val="24"/>
              </w:rPr>
              <w:fldChar w:fldCharType="begin">
                <w:ffData>
                  <w:name w:val="reg_dat"/>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2016B3">
              <w:rPr>
                <w:szCs w:val="24"/>
              </w:rPr>
              <w:t>23.07.2021</w:t>
            </w:r>
            <w:r w:rsidRPr="00615936">
              <w:rPr>
                <w:szCs w:val="24"/>
              </w:rPr>
              <w:fldChar w:fldCharType="end"/>
            </w:r>
            <w:bookmarkEnd w:id="0"/>
          </w:p>
        </w:tc>
        <w:tc>
          <w:tcPr>
            <w:tcW w:w="708" w:type="dxa"/>
            <w:tcBorders>
              <w:top w:val="nil"/>
              <w:left w:val="nil"/>
              <w:bottom w:val="nil"/>
              <w:right w:val="nil"/>
            </w:tcBorders>
          </w:tcPr>
          <w:p w14:paraId="079FA6A2" w14:textId="77777777" w:rsidR="002C22B9" w:rsidRPr="00615936" w:rsidRDefault="002C22B9" w:rsidP="002C22B9">
            <w:pPr>
              <w:tabs>
                <w:tab w:val="left" w:pos="360"/>
                <w:tab w:val="left" w:pos="3960"/>
              </w:tabs>
              <w:jc w:val="center"/>
              <w:rPr>
                <w:sz w:val="20"/>
              </w:rPr>
            </w:pPr>
            <w:r w:rsidRPr="00615936">
              <w:rPr>
                <w:sz w:val="20"/>
              </w:rPr>
              <w:t>Nr.</w:t>
            </w:r>
          </w:p>
        </w:tc>
        <w:bookmarkStart w:id="1" w:name="lietas_nr"/>
        <w:tc>
          <w:tcPr>
            <w:tcW w:w="2727" w:type="dxa"/>
            <w:tcBorders>
              <w:top w:val="nil"/>
              <w:left w:val="nil"/>
              <w:bottom w:val="single" w:sz="4" w:space="0" w:color="auto"/>
              <w:right w:val="nil"/>
            </w:tcBorders>
          </w:tcPr>
          <w:p w14:paraId="12C839B8" w14:textId="296A526C" w:rsidR="002C22B9" w:rsidRPr="00615936" w:rsidRDefault="002C22B9" w:rsidP="002C22B9">
            <w:pPr>
              <w:tabs>
                <w:tab w:val="left" w:pos="360"/>
                <w:tab w:val="left" w:pos="3960"/>
              </w:tabs>
              <w:rPr>
                <w:szCs w:val="24"/>
              </w:rPr>
            </w:pPr>
            <w:r w:rsidRPr="00615936">
              <w:rPr>
                <w:szCs w:val="24"/>
              </w:rPr>
              <w:fldChar w:fldCharType="begin">
                <w:ffData>
                  <w:name w:val="lietas_nr"/>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193C50">
              <w:rPr>
                <w:szCs w:val="24"/>
              </w:rPr>
              <w:t>12/A-2</w:t>
            </w:r>
            <w:r w:rsidRPr="00615936">
              <w:rPr>
                <w:szCs w:val="24"/>
              </w:rPr>
              <w:fldChar w:fldCharType="end"/>
            </w:r>
            <w:bookmarkEnd w:id="1"/>
            <w:r w:rsidRPr="00615936">
              <w:rPr>
                <w:szCs w:val="24"/>
              </w:rPr>
              <w:t>/</w:t>
            </w:r>
            <w:bookmarkStart w:id="2" w:name="reg_num"/>
            <w:r w:rsidRPr="00615936">
              <w:rPr>
                <w:szCs w:val="24"/>
              </w:rPr>
              <w:fldChar w:fldCharType="begin">
                <w:ffData>
                  <w:name w:val="reg_num"/>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2016B3">
              <w:rPr>
                <w:szCs w:val="24"/>
              </w:rPr>
              <w:t>4216</w:t>
            </w:r>
            <w:r w:rsidRPr="00615936">
              <w:rPr>
                <w:szCs w:val="24"/>
              </w:rPr>
              <w:fldChar w:fldCharType="end"/>
            </w:r>
            <w:bookmarkEnd w:id="2"/>
          </w:p>
        </w:tc>
      </w:tr>
      <w:tr w:rsidR="002C22B9" w:rsidRPr="00615936" w14:paraId="7EFBFA53" w14:textId="77777777" w:rsidTr="009F77B9">
        <w:trPr>
          <w:trHeight w:val="188"/>
        </w:trPr>
        <w:tc>
          <w:tcPr>
            <w:tcW w:w="450" w:type="dxa"/>
            <w:tcBorders>
              <w:top w:val="nil"/>
              <w:left w:val="nil"/>
              <w:bottom w:val="nil"/>
              <w:right w:val="nil"/>
            </w:tcBorders>
          </w:tcPr>
          <w:p w14:paraId="0D84B227" w14:textId="77777777" w:rsidR="002C22B9" w:rsidRPr="00615936" w:rsidRDefault="002C22B9" w:rsidP="002C22B9">
            <w:pPr>
              <w:tabs>
                <w:tab w:val="left" w:pos="360"/>
                <w:tab w:val="left" w:pos="3960"/>
              </w:tabs>
              <w:rPr>
                <w:sz w:val="20"/>
              </w:rPr>
            </w:pPr>
          </w:p>
        </w:tc>
        <w:tc>
          <w:tcPr>
            <w:tcW w:w="1785" w:type="dxa"/>
            <w:tcBorders>
              <w:top w:val="single" w:sz="4" w:space="0" w:color="auto"/>
              <w:left w:val="nil"/>
              <w:bottom w:val="nil"/>
              <w:right w:val="nil"/>
            </w:tcBorders>
          </w:tcPr>
          <w:p w14:paraId="36B32DB4" w14:textId="77777777" w:rsidR="002C22B9" w:rsidRPr="00615936" w:rsidRDefault="002C22B9" w:rsidP="002C22B9">
            <w:pPr>
              <w:tabs>
                <w:tab w:val="left" w:pos="360"/>
                <w:tab w:val="left" w:pos="3960"/>
              </w:tabs>
              <w:rPr>
                <w:sz w:val="20"/>
              </w:rPr>
            </w:pPr>
          </w:p>
        </w:tc>
        <w:tc>
          <w:tcPr>
            <w:tcW w:w="708" w:type="dxa"/>
            <w:tcBorders>
              <w:top w:val="nil"/>
              <w:left w:val="nil"/>
              <w:bottom w:val="nil"/>
              <w:right w:val="nil"/>
            </w:tcBorders>
          </w:tcPr>
          <w:p w14:paraId="12ED1A53" w14:textId="77777777" w:rsidR="002C22B9" w:rsidRPr="00615936" w:rsidRDefault="002C22B9" w:rsidP="002C22B9">
            <w:pPr>
              <w:tabs>
                <w:tab w:val="left" w:pos="360"/>
                <w:tab w:val="left" w:pos="3960"/>
              </w:tabs>
              <w:jc w:val="center"/>
              <w:rPr>
                <w:sz w:val="20"/>
              </w:rPr>
            </w:pPr>
          </w:p>
        </w:tc>
        <w:tc>
          <w:tcPr>
            <w:tcW w:w="2727" w:type="dxa"/>
            <w:tcBorders>
              <w:top w:val="single" w:sz="4" w:space="0" w:color="auto"/>
              <w:left w:val="nil"/>
              <w:bottom w:val="nil"/>
              <w:right w:val="nil"/>
            </w:tcBorders>
          </w:tcPr>
          <w:p w14:paraId="2D17A404" w14:textId="77777777" w:rsidR="002C22B9" w:rsidRPr="00615936" w:rsidRDefault="002C22B9" w:rsidP="002C22B9">
            <w:pPr>
              <w:tabs>
                <w:tab w:val="left" w:pos="360"/>
                <w:tab w:val="left" w:pos="3960"/>
              </w:tabs>
              <w:rPr>
                <w:sz w:val="20"/>
              </w:rPr>
            </w:pPr>
          </w:p>
        </w:tc>
      </w:tr>
      <w:tr w:rsidR="002C22B9" w:rsidRPr="00615936" w14:paraId="459DCB11" w14:textId="77777777" w:rsidTr="009F77B9">
        <w:tc>
          <w:tcPr>
            <w:tcW w:w="450" w:type="dxa"/>
            <w:tcBorders>
              <w:top w:val="nil"/>
              <w:left w:val="nil"/>
              <w:bottom w:val="nil"/>
              <w:right w:val="nil"/>
            </w:tcBorders>
          </w:tcPr>
          <w:p w14:paraId="23BF504B" w14:textId="77777777" w:rsidR="002C22B9" w:rsidRPr="00615936" w:rsidRDefault="002C22B9" w:rsidP="002C22B9">
            <w:pPr>
              <w:tabs>
                <w:tab w:val="left" w:pos="360"/>
                <w:tab w:val="left" w:pos="3960"/>
              </w:tabs>
              <w:rPr>
                <w:sz w:val="20"/>
              </w:rPr>
            </w:pPr>
            <w:r w:rsidRPr="00615936">
              <w:rPr>
                <w:sz w:val="20"/>
              </w:rPr>
              <w:t>Uz</w:t>
            </w:r>
          </w:p>
        </w:tc>
        <w:bookmarkStart w:id="3" w:name="san_dat"/>
        <w:tc>
          <w:tcPr>
            <w:tcW w:w="1785" w:type="dxa"/>
            <w:tcBorders>
              <w:top w:val="nil"/>
              <w:left w:val="nil"/>
              <w:bottom w:val="single" w:sz="4" w:space="0" w:color="auto"/>
              <w:right w:val="nil"/>
            </w:tcBorders>
          </w:tcPr>
          <w:p w14:paraId="7D7816BF" w14:textId="77777777" w:rsidR="002C22B9" w:rsidRDefault="002C22B9" w:rsidP="002C22B9">
            <w:pPr>
              <w:tabs>
                <w:tab w:val="left" w:pos="360"/>
                <w:tab w:val="left" w:pos="3960"/>
              </w:tabs>
              <w:rPr>
                <w:szCs w:val="24"/>
              </w:rPr>
            </w:pPr>
            <w:r w:rsidRPr="00615936">
              <w:rPr>
                <w:szCs w:val="24"/>
              </w:rPr>
              <w:fldChar w:fldCharType="begin">
                <w:ffData>
                  <w:name w:val="san_dat"/>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193C50">
              <w:rPr>
                <w:szCs w:val="24"/>
              </w:rPr>
              <w:t>30.06.2021</w:t>
            </w:r>
            <w:r w:rsidRPr="00615936">
              <w:rPr>
                <w:szCs w:val="24"/>
              </w:rPr>
              <w:fldChar w:fldCharType="end"/>
            </w:r>
            <w:bookmarkEnd w:id="3"/>
          </w:p>
          <w:p w14:paraId="030DA4DC" w14:textId="77777777" w:rsidR="005052CB" w:rsidRPr="00615936" w:rsidRDefault="005052CB" w:rsidP="002C22B9">
            <w:pPr>
              <w:tabs>
                <w:tab w:val="left" w:pos="360"/>
                <w:tab w:val="left" w:pos="3960"/>
              </w:tabs>
              <w:rPr>
                <w:szCs w:val="24"/>
              </w:rPr>
            </w:pPr>
            <w:r>
              <w:rPr>
                <w:szCs w:val="24"/>
              </w:rPr>
              <w:t>06.07.2021</w:t>
            </w:r>
          </w:p>
        </w:tc>
        <w:tc>
          <w:tcPr>
            <w:tcW w:w="708" w:type="dxa"/>
            <w:tcBorders>
              <w:top w:val="nil"/>
              <w:left w:val="nil"/>
              <w:bottom w:val="nil"/>
              <w:right w:val="nil"/>
            </w:tcBorders>
          </w:tcPr>
          <w:p w14:paraId="3D7A4EFC" w14:textId="77777777" w:rsidR="002C22B9" w:rsidRPr="00615936" w:rsidRDefault="002C22B9" w:rsidP="002C22B9">
            <w:pPr>
              <w:tabs>
                <w:tab w:val="left" w:pos="360"/>
                <w:tab w:val="left" w:pos="3960"/>
              </w:tabs>
              <w:jc w:val="center"/>
              <w:rPr>
                <w:sz w:val="20"/>
              </w:rPr>
            </w:pPr>
            <w:r w:rsidRPr="00615936">
              <w:rPr>
                <w:sz w:val="20"/>
              </w:rPr>
              <w:t>Nr.</w:t>
            </w:r>
          </w:p>
        </w:tc>
        <w:bookmarkStart w:id="4" w:name="san_num"/>
        <w:tc>
          <w:tcPr>
            <w:tcW w:w="2727" w:type="dxa"/>
            <w:tcBorders>
              <w:top w:val="nil"/>
              <w:left w:val="nil"/>
              <w:bottom w:val="single" w:sz="4" w:space="0" w:color="auto"/>
              <w:right w:val="nil"/>
            </w:tcBorders>
          </w:tcPr>
          <w:p w14:paraId="1834E2D5" w14:textId="77777777" w:rsidR="002C22B9" w:rsidRDefault="002C22B9" w:rsidP="002C22B9">
            <w:pPr>
              <w:tabs>
                <w:tab w:val="left" w:pos="360"/>
                <w:tab w:val="left" w:pos="3960"/>
              </w:tabs>
              <w:rPr>
                <w:szCs w:val="24"/>
              </w:rPr>
            </w:pPr>
            <w:r w:rsidRPr="00615936">
              <w:rPr>
                <w:szCs w:val="24"/>
              </w:rPr>
              <w:fldChar w:fldCharType="begin">
                <w:ffData>
                  <w:name w:val="san_num"/>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193C50">
              <w:rPr>
                <w:szCs w:val="24"/>
              </w:rPr>
              <w:t>09-02/2654</w:t>
            </w:r>
            <w:r w:rsidRPr="00615936">
              <w:rPr>
                <w:szCs w:val="24"/>
              </w:rPr>
              <w:fldChar w:fldCharType="end"/>
            </w:r>
            <w:bookmarkEnd w:id="4"/>
          </w:p>
          <w:p w14:paraId="3FEEC239" w14:textId="77777777" w:rsidR="005052CB" w:rsidRPr="00615936" w:rsidRDefault="005052CB" w:rsidP="002C22B9">
            <w:pPr>
              <w:tabs>
                <w:tab w:val="left" w:pos="360"/>
                <w:tab w:val="left" w:pos="3960"/>
              </w:tabs>
              <w:rPr>
                <w:szCs w:val="24"/>
              </w:rPr>
            </w:pPr>
            <w:r>
              <w:rPr>
                <w:szCs w:val="24"/>
              </w:rPr>
              <w:t>09-02/2736</w:t>
            </w:r>
          </w:p>
        </w:tc>
      </w:tr>
    </w:tbl>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0C0DD4" w14:paraId="53061939" w14:textId="77777777" w:rsidTr="000C0DD4">
        <w:trPr>
          <w:jc w:val="right"/>
        </w:trPr>
        <w:tc>
          <w:tcPr>
            <w:tcW w:w="4644" w:type="dxa"/>
          </w:tcPr>
          <w:p w14:paraId="51841428" w14:textId="77777777" w:rsidR="000C0DD4" w:rsidRDefault="00193C50" w:rsidP="000C0DD4">
            <w:pPr>
              <w:jc w:val="right"/>
              <w:rPr>
                <w:b/>
                <w:bCs/>
                <w:szCs w:val="24"/>
                <w:lang w:eastAsia="lv-LV"/>
              </w:rPr>
            </w:pPr>
            <w:bookmarkStart w:id="5" w:name="org_nos"/>
            <w:r>
              <w:rPr>
                <w:b/>
                <w:bCs/>
                <w:szCs w:val="24"/>
                <w:lang w:eastAsia="lv-LV"/>
              </w:rPr>
              <w:t>Satiksmes ministrija</w:t>
            </w:r>
            <w:r w:rsidR="005052CB">
              <w:rPr>
                <w:b/>
                <w:bCs/>
                <w:szCs w:val="24"/>
                <w:lang w:eastAsia="lv-LV"/>
              </w:rPr>
              <w:t>i</w:t>
            </w:r>
          </w:p>
        </w:tc>
      </w:tr>
      <w:bookmarkEnd w:id="5"/>
    </w:tbl>
    <w:p w14:paraId="2C027F9E" w14:textId="77777777" w:rsidR="001F53D9" w:rsidRPr="007F3771" w:rsidRDefault="001F53D9" w:rsidP="004F32A1">
      <w:pPr>
        <w:rPr>
          <w:spacing w:val="4"/>
          <w:sz w:val="20"/>
        </w:rPr>
      </w:pPr>
    </w:p>
    <w:tbl>
      <w:tblPr>
        <w:tblStyle w:val="TableGrid"/>
        <w:tblW w:w="0" w:type="auto"/>
        <w:tblLook w:val="04A0" w:firstRow="1" w:lastRow="0" w:firstColumn="1" w:lastColumn="0" w:noHBand="0" w:noVBand="1"/>
      </w:tblPr>
      <w:tblGrid>
        <w:gridCol w:w="4503"/>
      </w:tblGrid>
      <w:tr w:rsidR="000C0DD4" w14:paraId="073DD8F1" w14:textId="77777777" w:rsidTr="000C0DD4">
        <w:tc>
          <w:tcPr>
            <w:tcW w:w="4503" w:type="dxa"/>
            <w:tcBorders>
              <w:top w:val="nil"/>
              <w:left w:val="nil"/>
              <w:bottom w:val="nil"/>
              <w:right w:val="nil"/>
            </w:tcBorders>
          </w:tcPr>
          <w:p w14:paraId="76E6970E" w14:textId="77777777" w:rsidR="000C0DD4" w:rsidRDefault="00193C50" w:rsidP="00C04DED">
            <w:pPr>
              <w:jc w:val="left"/>
              <w:rPr>
                <w:i/>
                <w:iCs/>
                <w:szCs w:val="24"/>
                <w:lang w:eastAsia="lv-LV"/>
              </w:rPr>
            </w:pPr>
            <w:r>
              <w:rPr>
                <w:i/>
                <w:iCs/>
                <w:szCs w:val="24"/>
                <w:lang w:eastAsia="lv-LV"/>
              </w:rPr>
              <w:t>Par Ministru kabineta rīkojuma projektiem</w:t>
            </w:r>
          </w:p>
        </w:tc>
      </w:tr>
    </w:tbl>
    <w:p w14:paraId="6AB85BE8" w14:textId="77777777" w:rsidR="00E04F00" w:rsidRPr="00615936" w:rsidRDefault="00E04F00" w:rsidP="00C04DED">
      <w:pPr>
        <w:jc w:val="left"/>
        <w:rPr>
          <w:szCs w:val="24"/>
        </w:rPr>
      </w:pPr>
    </w:p>
    <w:p w14:paraId="3DAAC2A0" w14:textId="77777777" w:rsidR="005052CB" w:rsidRDefault="005052CB" w:rsidP="005052CB">
      <w:pPr>
        <w:ind w:firstLine="720"/>
      </w:pPr>
      <w:r>
        <w:t>Finanšu ministrija atbilstoši kompetencei ir izskatījusi Satiksmes ministrijas sagatavoto Ministru kabineta</w:t>
      </w:r>
      <w:r w:rsidRPr="00B81C11">
        <w:t xml:space="preserve"> </w:t>
      </w:r>
      <w:r>
        <w:t>rīkojuma projektu “</w:t>
      </w:r>
      <w:r w:rsidRPr="00B81C11">
        <w:t>Par finanšu līdzekļu piešķiršanu no valsts budžeta programmas 02.00.00 „Līdzekļi neparedzētiem gadījumiem”</w:t>
      </w:r>
      <w:r>
        <w:t xml:space="preserve">”, kas paredz </w:t>
      </w:r>
      <w:r w:rsidRPr="00E62237">
        <w:t xml:space="preserve">piešķirt Satiksmes ministrijai finansējumu 14 225 226 </w:t>
      </w:r>
      <w:proofErr w:type="spellStart"/>
      <w:r w:rsidRPr="00A62357">
        <w:rPr>
          <w:i/>
        </w:rPr>
        <w:t>euro</w:t>
      </w:r>
      <w:proofErr w:type="spellEnd"/>
      <w:r w:rsidRPr="00E62237">
        <w:t xml:space="preserve"> apmērā, lai nodrošinātu normatīvajos aktos noteikto izdevumu kompensēšanu par valsts publiskās lietošanas dzelzceļa infrastruktūras izmantošanu dzelzceļa pasažieru pārvadājumiem, ko sniedz saistībā ar sabiedrisko pakalpojumu līgumu </w:t>
      </w:r>
      <w:r>
        <w:t>(turpmāk – infrastruktūras rīkojuma projekts), un Ministru kabineta</w:t>
      </w:r>
      <w:r w:rsidRPr="00B81C11">
        <w:t xml:space="preserve"> </w:t>
      </w:r>
      <w:r>
        <w:t>rīkojuma projektu “</w:t>
      </w:r>
      <w:r w:rsidRPr="00B81C11">
        <w:t>Par finanšu līdzekļu piešķiršanu no valsts budžeta programmas 02.00.00 „Līdzekļi neparedzētiem gadījumiem”</w:t>
      </w:r>
      <w:r>
        <w:t xml:space="preserve">”, kas paredz </w:t>
      </w:r>
      <w:r w:rsidRPr="00E62237">
        <w:t xml:space="preserve">piešķirt Satiksmes ministrijai finansējumu 9 503 295 </w:t>
      </w:r>
      <w:proofErr w:type="spellStart"/>
      <w:r w:rsidRPr="00EF1408">
        <w:rPr>
          <w:i/>
        </w:rPr>
        <w:t>euro</w:t>
      </w:r>
      <w:proofErr w:type="spellEnd"/>
      <w:r w:rsidRPr="00E62237">
        <w:t xml:space="preserve"> apmērā, lai nodrošinātu valsts publiskās lietošanas dzelzceļa infrastruktūras pārvaldītāja (valsts akciju sabiedrība “Latvijas dzelzceļš”) finanšu līdzsvara par 2020. gadu maksājumu</w:t>
      </w:r>
      <w:r>
        <w:t xml:space="preserve"> (turpmāk – līdzsvara rīkojuma projekts), tiem pievienotos </w:t>
      </w:r>
      <w:r w:rsidRPr="00B81C11">
        <w:t>sākotnēj</w:t>
      </w:r>
      <w:r>
        <w:t>ās ietekmes novērtējuma ziņojumus (anotācijas) un sniedz šādu viedokli.</w:t>
      </w:r>
    </w:p>
    <w:p w14:paraId="5AF94AD1" w14:textId="77777777" w:rsidR="005052CB" w:rsidRDefault="005052CB" w:rsidP="005052CB">
      <w:pPr>
        <w:ind w:firstLine="720"/>
        <w:rPr>
          <w:szCs w:val="24"/>
        </w:rPr>
      </w:pPr>
      <w:r>
        <w:rPr>
          <w:szCs w:val="24"/>
        </w:rPr>
        <w:t xml:space="preserve">Ņemot vērā, ka Satiksmes ministrijas sagatavotais </w:t>
      </w:r>
      <w:r w:rsidRPr="00B9421E">
        <w:rPr>
          <w:szCs w:val="24"/>
        </w:rPr>
        <w:t>i</w:t>
      </w:r>
      <w:r>
        <w:rPr>
          <w:szCs w:val="24"/>
        </w:rPr>
        <w:t>nfrastruktūras rīkojuma projekts un līdzsvara rīkojuma projekts</w:t>
      </w:r>
      <w:r w:rsidRPr="000B45A2">
        <w:rPr>
          <w:szCs w:val="24"/>
        </w:rPr>
        <w:t xml:space="preserve"> nav saistīts ar Covid</w:t>
      </w:r>
      <w:r w:rsidRPr="000B45A2">
        <w:rPr>
          <w:szCs w:val="24"/>
        </w:rPr>
        <w:noBreakHyphen/>
        <w:t xml:space="preserve">19 </w:t>
      </w:r>
      <w:r>
        <w:rPr>
          <w:szCs w:val="24"/>
        </w:rPr>
        <w:t>infekcijas izplatības radītajām sekām, un ievērojot</w:t>
      </w:r>
      <w:r w:rsidRPr="000B45A2">
        <w:rPr>
          <w:szCs w:val="24"/>
        </w:rPr>
        <w:t xml:space="preserve"> budžeta programmā “Līdzekļi neparedzētiem gadījumiem” ierobežotos resursus</w:t>
      </w:r>
      <w:r>
        <w:rPr>
          <w:szCs w:val="24"/>
        </w:rPr>
        <w:t xml:space="preserve"> vispārējiem gadījumiem</w:t>
      </w:r>
      <w:r w:rsidRPr="000B45A2">
        <w:rPr>
          <w:szCs w:val="24"/>
        </w:rPr>
        <w:t xml:space="preserve">, uzskatām, ka </w:t>
      </w:r>
      <w:r>
        <w:rPr>
          <w:szCs w:val="24"/>
        </w:rPr>
        <w:t xml:space="preserve">jautājums par papildu finansējuma piešķiršanu, kas minēts </w:t>
      </w:r>
      <w:r w:rsidRPr="00E62237">
        <w:rPr>
          <w:szCs w:val="24"/>
        </w:rPr>
        <w:t>i</w:t>
      </w:r>
      <w:r>
        <w:rPr>
          <w:szCs w:val="24"/>
        </w:rPr>
        <w:t xml:space="preserve">nfrastruktūras rīkojuma projekta un  </w:t>
      </w:r>
      <w:r w:rsidRPr="00E62237">
        <w:rPr>
          <w:szCs w:val="24"/>
        </w:rPr>
        <w:t xml:space="preserve">līdzsvara </w:t>
      </w:r>
      <w:r w:rsidRPr="000B45A2">
        <w:rPr>
          <w:szCs w:val="24"/>
        </w:rPr>
        <w:t>rīkojuma projekta 1.punktā</w:t>
      </w:r>
      <w:r>
        <w:rPr>
          <w:szCs w:val="24"/>
        </w:rPr>
        <w:t xml:space="preserve">, </w:t>
      </w:r>
      <w:r w:rsidRPr="000B45A2">
        <w:rPr>
          <w:szCs w:val="24"/>
        </w:rPr>
        <w:t xml:space="preserve">ir risināms </w:t>
      </w:r>
      <w:r>
        <w:rPr>
          <w:szCs w:val="24"/>
        </w:rPr>
        <w:t>2021.</w:t>
      </w:r>
      <w:r w:rsidRPr="000B45A2">
        <w:rPr>
          <w:szCs w:val="24"/>
        </w:rPr>
        <w:t xml:space="preserve">gada </w:t>
      </w:r>
      <w:r>
        <w:rPr>
          <w:szCs w:val="24"/>
        </w:rPr>
        <w:t>pēdējā ceturksnī</w:t>
      </w:r>
      <w:r w:rsidRPr="000B45A2">
        <w:rPr>
          <w:szCs w:val="24"/>
        </w:rPr>
        <w:t xml:space="preserve">, kad tiks apkopota informācija par budžeta izpildi visos resoros un novērtēta potenciālā </w:t>
      </w:r>
      <w:r w:rsidR="007A1C20">
        <w:rPr>
          <w:szCs w:val="24"/>
        </w:rPr>
        <w:t xml:space="preserve">valsts budžeta </w:t>
      </w:r>
      <w:r w:rsidRPr="000B45A2">
        <w:rPr>
          <w:szCs w:val="24"/>
        </w:rPr>
        <w:t xml:space="preserve">līdzekļu </w:t>
      </w:r>
      <w:proofErr w:type="spellStart"/>
      <w:r w:rsidRPr="000B45A2">
        <w:rPr>
          <w:szCs w:val="24"/>
        </w:rPr>
        <w:t>neapguve</w:t>
      </w:r>
      <w:proofErr w:type="spellEnd"/>
      <w:r>
        <w:rPr>
          <w:szCs w:val="24"/>
        </w:rPr>
        <w:t xml:space="preserve"> un valsts budžeta iespējas kārtējā gada ietvaros</w:t>
      </w:r>
      <w:r w:rsidRPr="000B45A2">
        <w:rPr>
          <w:szCs w:val="24"/>
        </w:rPr>
        <w:t>.</w:t>
      </w:r>
      <w:r w:rsidRPr="00B9421E">
        <w:t xml:space="preserve"> </w:t>
      </w:r>
      <w:r w:rsidR="007A1C20">
        <w:t>Vienlaikus v</w:t>
      </w:r>
      <w:r>
        <w:t xml:space="preserve">ēršam uzmanību, ka </w:t>
      </w:r>
      <w:r w:rsidRPr="00B9421E">
        <w:rPr>
          <w:szCs w:val="24"/>
        </w:rPr>
        <w:t>Covid-19 infekcijas izplatības izraisītās krīzes apstākļos ir būtiski pieauguši valsts budžeta izdevumu dažādiem mērķiem, kas palielina valsts konsolidētā budžeta finansiālo deficītu</w:t>
      </w:r>
      <w:r>
        <w:rPr>
          <w:szCs w:val="24"/>
        </w:rPr>
        <w:t xml:space="preserve">. Attiecīgi </w:t>
      </w:r>
      <w:r w:rsidR="007A1C20">
        <w:rPr>
          <w:szCs w:val="24"/>
        </w:rPr>
        <w:t xml:space="preserve">minēto </w:t>
      </w:r>
      <w:r>
        <w:rPr>
          <w:szCs w:val="24"/>
        </w:rPr>
        <w:t xml:space="preserve">rīkojumu projektu tālāka virzība šobrīd nav atbalstāma. </w:t>
      </w:r>
    </w:p>
    <w:p w14:paraId="28B813D6" w14:textId="77777777" w:rsidR="005052CB" w:rsidRDefault="005052CB" w:rsidP="005052CB">
      <w:pPr>
        <w:ind w:firstLine="720"/>
        <w:rPr>
          <w:szCs w:val="24"/>
        </w:rPr>
      </w:pPr>
      <w:r>
        <w:rPr>
          <w:szCs w:val="24"/>
        </w:rPr>
        <w:t xml:space="preserve">Papildus norādām uz neprecizitātēm </w:t>
      </w:r>
      <w:r w:rsidRPr="00B9421E">
        <w:rPr>
          <w:szCs w:val="24"/>
        </w:rPr>
        <w:t>i</w:t>
      </w:r>
      <w:r>
        <w:rPr>
          <w:szCs w:val="24"/>
        </w:rPr>
        <w:t>nfrastruktūras rīkojuma projektā, līdzsvara rīkojuma projek</w:t>
      </w:r>
      <w:r w:rsidR="007A1C20">
        <w:rPr>
          <w:szCs w:val="24"/>
        </w:rPr>
        <w:t>tā un to anotācijās.</w:t>
      </w:r>
    </w:p>
    <w:p w14:paraId="38DDBF66" w14:textId="77777777" w:rsidR="005052CB" w:rsidRPr="005D23FB" w:rsidRDefault="005052CB" w:rsidP="005052CB">
      <w:pPr>
        <w:pStyle w:val="ListParagraph"/>
        <w:numPr>
          <w:ilvl w:val="0"/>
          <w:numId w:val="1"/>
        </w:numPr>
        <w:ind w:left="357" w:hanging="357"/>
        <w:rPr>
          <w:szCs w:val="24"/>
        </w:rPr>
      </w:pPr>
      <w:r>
        <w:rPr>
          <w:szCs w:val="24"/>
        </w:rPr>
        <w:t xml:space="preserve">Ņemot vērā </w:t>
      </w:r>
      <w:r w:rsidRPr="0010421A">
        <w:rPr>
          <w:szCs w:val="24"/>
        </w:rPr>
        <w:t xml:space="preserve">infrastruktūras rīkojuma projekta un līdzsvara rīkojuma projekta anotācijās </w:t>
      </w:r>
      <w:r>
        <w:rPr>
          <w:szCs w:val="24"/>
        </w:rPr>
        <w:t>sniegto informāciju, secināms, ka pieprasītais papildu finansējums nav saistīts ar Covid-</w:t>
      </w:r>
      <w:r w:rsidRPr="00B9421E">
        <w:rPr>
          <w:szCs w:val="24"/>
        </w:rPr>
        <w:t>19 infekcijas izplatības radītajām sekām</w:t>
      </w:r>
      <w:r>
        <w:rPr>
          <w:szCs w:val="24"/>
        </w:rPr>
        <w:t xml:space="preserve">, attiecīgi ir svītrojams </w:t>
      </w:r>
      <w:r w:rsidRPr="00B9421E">
        <w:rPr>
          <w:szCs w:val="24"/>
        </w:rPr>
        <w:t>i</w:t>
      </w:r>
      <w:r>
        <w:rPr>
          <w:szCs w:val="24"/>
        </w:rPr>
        <w:t xml:space="preserve">nfrastruktūras rīkojuma projekta un līdzsvara rīkojuma projekta 3.punkts, kā arī precizējama </w:t>
      </w:r>
      <w:r w:rsidRPr="0010421A">
        <w:rPr>
          <w:szCs w:val="24"/>
        </w:rPr>
        <w:t>infrastruktūras rīkojuma projekta un līdzsvara rīkojuma projekta anotācijās</w:t>
      </w:r>
      <w:r>
        <w:rPr>
          <w:szCs w:val="24"/>
        </w:rPr>
        <w:t xml:space="preserve"> sniegtā informācija.</w:t>
      </w:r>
    </w:p>
    <w:p w14:paraId="2E0490E9" w14:textId="77777777" w:rsidR="005052CB" w:rsidRPr="0010421A" w:rsidRDefault="005052CB" w:rsidP="005052CB">
      <w:pPr>
        <w:pStyle w:val="ListParagraph"/>
        <w:numPr>
          <w:ilvl w:val="0"/>
          <w:numId w:val="1"/>
        </w:numPr>
        <w:ind w:left="357" w:hanging="357"/>
        <w:rPr>
          <w:szCs w:val="24"/>
        </w:rPr>
      </w:pPr>
      <w:r w:rsidRPr="0010421A">
        <w:rPr>
          <w:szCs w:val="24"/>
        </w:rPr>
        <w:t xml:space="preserve">Līdzsvara rīkojuma projekta 1.punktā, kā arī infrastruktūras rīkojuma projekta un līdzsvara rīkojuma projekta anotācijās norādīta atsauce uz Dzelzceļa likuma 9.panta ceturtajā daļā noteikto, tomēr norādām, ka minētajā pantā arī noteikts, ka valsts savus pienākumus nodrošina </w:t>
      </w:r>
      <w:r w:rsidRPr="0010421A">
        <w:rPr>
          <w:szCs w:val="24"/>
        </w:rPr>
        <w:lastRenderedPageBreak/>
        <w:t xml:space="preserve">normālos saimnieciskās darbības apstākļos, kā arī valsts var prasīt, lai šā likuma 6.pantā minētais valsts publiskās lietošanas dzelzceļa infrastruktūras pārvaldītājs līdzsvaro ieņēmumus un izdevumus bez valsts finansējuma. Attiecīgi uzskatām, ka ir precizējama abu rīkojuma projektu anotācijās sniegtā informācija par Dzelzceļa likuma 9. panta ceturtajā daļā noteikto, norādot pilnu informāciju, </w:t>
      </w:r>
      <w:r>
        <w:rPr>
          <w:szCs w:val="24"/>
        </w:rPr>
        <w:t xml:space="preserve">ko minētais regulējums </w:t>
      </w:r>
      <w:r w:rsidRPr="0010421A">
        <w:rPr>
          <w:szCs w:val="24"/>
        </w:rPr>
        <w:t>paredz, kā arī ir izvērtējams, vai līdzsvara rīkojuma projekta 1.punktā nebūtu jāsvītro vārdi “</w:t>
      </w:r>
      <w:r>
        <w:rPr>
          <w:szCs w:val="24"/>
        </w:rPr>
        <w:t>atbilstoši Dzelzceļa likuma 9.</w:t>
      </w:r>
      <w:r w:rsidRPr="0010421A">
        <w:rPr>
          <w:szCs w:val="24"/>
        </w:rPr>
        <w:t>panta ceturtajai daļai”.</w:t>
      </w:r>
    </w:p>
    <w:p w14:paraId="003800DB" w14:textId="77777777" w:rsidR="005052CB" w:rsidRDefault="005052CB" w:rsidP="005052CB">
      <w:pPr>
        <w:pStyle w:val="ListParagraph"/>
        <w:numPr>
          <w:ilvl w:val="0"/>
          <w:numId w:val="1"/>
        </w:numPr>
        <w:ind w:left="357" w:hanging="357"/>
        <w:rPr>
          <w:szCs w:val="24"/>
        </w:rPr>
      </w:pPr>
      <w:r w:rsidRPr="00487D55">
        <w:rPr>
          <w:szCs w:val="24"/>
        </w:rPr>
        <w:t xml:space="preserve">Infrastruktūras rīkojuma projekta </w:t>
      </w:r>
      <w:r>
        <w:rPr>
          <w:szCs w:val="24"/>
        </w:rPr>
        <w:t>anotācijā</w:t>
      </w:r>
      <w:r w:rsidRPr="00487D55">
        <w:rPr>
          <w:szCs w:val="24"/>
        </w:rPr>
        <w:t xml:space="preserve"> norādīta atsauce uz </w:t>
      </w:r>
      <w:r w:rsidRPr="00487D55">
        <w:rPr>
          <w:bCs/>
        </w:rPr>
        <w:t>Ministru kabineta 2018.gada 6.novembra rīkojumu Nr.588 “Par indikatīvo dzelzceļa infrastruktūras attīstības plānu 2018.</w:t>
      </w:r>
      <w:r w:rsidRPr="00487D55">
        <w:rPr>
          <w:bCs/>
        </w:rPr>
        <w:noBreakHyphen/>
        <w:t xml:space="preserve">2022.gadam”, pamatojot, ka tajā ir norādīts ikgadējais papildu nepieciešamais finansējums, kā arī </w:t>
      </w:r>
      <w:r w:rsidRPr="00487D55">
        <w:rPr>
          <w:szCs w:val="24"/>
        </w:rPr>
        <w:t xml:space="preserve">līdzsvara rīkojuma projekta anotācijā pieminēts </w:t>
      </w:r>
      <w:r w:rsidRPr="005856E9">
        <w:t>Indikatīva</w:t>
      </w:r>
      <w:r>
        <w:t xml:space="preserve">is </w:t>
      </w:r>
      <w:r w:rsidRPr="005856E9">
        <w:t xml:space="preserve">dzelzceļa </w:t>
      </w:r>
      <w:r>
        <w:t>infrastruktūras attīstības plāns</w:t>
      </w:r>
      <w:r w:rsidRPr="005856E9">
        <w:t xml:space="preserve"> 2018.-2022.gadam</w:t>
      </w:r>
      <w:r>
        <w:t>, kurā</w:t>
      </w:r>
      <w:r w:rsidRPr="005856E9">
        <w:t xml:space="preserve"> noteikts dzelzceļa infrastruktūras pārvaldītāja finanšu līdzsvara nodrošināšanas mehānisms</w:t>
      </w:r>
      <w:r w:rsidRPr="00487D55">
        <w:rPr>
          <w:bCs/>
        </w:rPr>
        <w:t xml:space="preserve">. Norādām, ka minētajā Ministru kabineta rīkojumā, ar kuru apstiprināts </w:t>
      </w:r>
      <w:r w:rsidRPr="005856E9">
        <w:t>Indikatīva</w:t>
      </w:r>
      <w:r>
        <w:t xml:space="preserve">is </w:t>
      </w:r>
      <w:r w:rsidRPr="005856E9">
        <w:t xml:space="preserve">dzelzceļa </w:t>
      </w:r>
      <w:r>
        <w:t>infrastruktūras attīstības plāns</w:t>
      </w:r>
      <w:r w:rsidRPr="005856E9">
        <w:t xml:space="preserve"> 2018.-2022.gadam</w:t>
      </w:r>
      <w:r>
        <w:t xml:space="preserve">, arī noteikts, ka </w:t>
      </w:r>
      <w:r w:rsidRPr="00487D55">
        <w:rPr>
          <w:szCs w:val="24"/>
        </w:rPr>
        <w:t xml:space="preserve">jautājums par papildu valsts budžeta līdzekļu piešķiršanu plānā paredzēto rīcības virzienu īstenošanai izskatāms likumprojekta par valsts budžetu un likumprojekta par vidēja termiņa budžeta ietvaru sagatavošanas procesā kopā ar visu ministriju un centrālo valsts iestāžu prioritāro pasākumu pieteikumiem, ievērojot valsts budžeta finansiālās iespējas. Attiecīgi arī šāda piebilde būtu norādāma infrastruktūras rīkojuma projekta un līdzsvara rīkojuma projekta anotācijās, kā arī iekļaujama informācija, ka kopš minētā </w:t>
      </w:r>
      <w:r w:rsidR="007A1C20">
        <w:rPr>
          <w:bCs/>
        </w:rPr>
        <w:t>Ministru kabineta</w:t>
      </w:r>
      <w:r w:rsidRPr="00487D55">
        <w:rPr>
          <w:bCs/>
        </w:rPr>
        <w:t xml:space="preserve"> </w:t>
      </w:r>
      <w:r w:rsidRPr="00487D55">
        <w:rPr>
          <w:szCs w:val="24"/>
        </w:rPr>
        <w:t>rīkojuma apstiprināšanas šādi prioritārie pasākumu</w:t>
      </w:r>
      <w:r w:rsidR="007A1C20">
        <w:rPr>
          <w:szCs w:val="24"/>
        </w:rPr>
        <w:t xml:space="preserve"> pieteikumi</w:t>
      </w:r>
      <w:r w:rsidRPr="00487D55">
        <w:rPr>
          <w:szCs w:val="24"/>
        </w:rPr>
        <w:t xml:space="preserve"> budžeta likumprojektu sagatavošanas procesā nav atbalstīti. </w:t>
      </w:r>
    </w:p>
    <w:p w14:paraId="7F858C99" w14:textId="77777777" w:rsidR="005052CB" w:rsidRPr="00487D55" w:rsidRDefault="005052CB" w:rsidP="005052CB">
      <w:pPr>
        <w:pStyle w:val="ListParagraph"/>
        <w:numPr>
          <w:ilvl w:val="0"/>
          <w:numId w:val="1"/>
        </w:numPr>
        <w:ind w:left="357" w:hanging="357"/>
        <w:rPr>
          <w:szCs w:val="24"/>
        </w:rPr>
      </w:pPr>
      <w:r w:rsidRPr="00487D55">
        <w:rPr>
          <w:szCs w:val="24"/>
        </w:rPr>
        <w:t xml:space="preserve">Attiecībā uz </w:t>
      </w:r>
      <w:r w:rsidRPr="0010421A">
        <w:rPr>
          <w:szCs w:val="24"/>
        </w:rPr>
        <w:t xml:space="preserve">infrastruktūras rīkojuma projekta un līdzsvara rīkojuma projekta anotācijās </w:t>
      </w:r>
      <w:r>
        <w:rPr>
          <w:szCs w:val="24"/>
        </w:rPr>
        <w:t xml:space="preserve">minēto </w:t>
      </w:r>
      <w:r w:rsidRPr="00487D55">
        <w:rPr>
          <w:szCs w:val="24"/>
        </w:rPr>
        <w:t>Daudzgadu līgum</w:t>
      </w:r>
      <w:r>
        <w:rPr>
          <w:szCs w:val="24"/>
        </w:rPr>
        <w:t>u</w:t>
      </w:r>
      <w:r w:rsidRPr="00487D55">
        <w:rPr>
          <w:szCs w:val="24"/>
        </w:rPr>
        <w:t xml:space="preserve"> vēršam uzmanību, ka atbilstoši Likumam par budžetu un finanšu vadību budžeta iestādes var uzņemties valsts budžeta ilgtermiņa saistības, nepārsniedzot saimnieciskā gada valsts budžeta likumā noteiktos valsts budžeta ilgtermiņa saistību maksimāli pieļaujamos apjomus, kā arī saistības, kuras no budžeta finansētu institūciju vadītāji uzņēmušies attiecībā uz budžeta līdzekļiem bez asignējuma, pārsniedzot piešķirto asignējumu vai pilnvaras plānotajām saistībām nākotnē, nav uzskatāmas par valsts saistībām. Vienlaikus norādām, ka arī Daudzgadu līgumā minēts, ka tas noslēgts, pamatojoties uz </w:t>
      </w:r>
      <w:r w:rsidRPr="00487D55">
        <w:rPr>
          <w:bCs/>
        </w:rPr>
        <w:t>Ministru kabineta 2018.gada 6.novembra rīkojumu Nr.588 “Par indikatīvo dzelzceļa infrastruktūras attīstības plānu 2018.</w:t>
      </w:r>
      <w:r w:rsidRPr="00487D55">
        <w:rPr>
          <w:bCs/>
        </w:rPr>
        <w:noBreakHyphen/>
        <w:t>2022.gadam”</w:t>
      </w:r>
      <w:r>
        <w:rPr>
          <w:bCs/>
        </w:rPr>
        <w:t xml:space="preserve">, tātad līguma izpildē būtu jāņem vērā minētajā Ministru kabineta rīkojumā noteiktais arī attiecībā uz to, kā risināms jautājums par finansējuma nodrošināšanu, attiecīgi uzskatām, ka šāda piebilde būtu norādāma arī </w:t>
      </w:r>
      <w:r w:rsidRPr="00B9421E">
        <w:rPr>
          <w:szCs w:val="24"/>
        </w:rPr>
        <w:t>i</w:t>
      </w:r>
      <w:r>
        <w:rPr>
          <w:szCs w:val="24"/>
        </w:rPr>
        <w:t>nfrastruktūras rīkojuma projekta un līdzsvara rīkojuma projekta anotācijās.</w:t>
      </w:r>
    </w:p>
    <w:p w14:paraId="416FCEE2" w14:textId="77777777" w:rsidR="005052CB" w:rsidRDefault="005052CB" w:rsidP="005052CB">
      <w:pPr>
        <w:pStyle w:val="ListParagraph"/>
        <w:numPr>
          <w:ilvl w:val="0"/>
          <w:numId w:val="1"/>
        </w:numPr>
        <w:ind w:left="357" w:hanging="357"/>
        <w:rPr>
          <w:szCs w:val="24"/>
        </w:rPr>
      </w:pPr>
      <w:r w:rsidRPr="00067711">
        <w:rPr>
          <w:szCs w:val="24"/>
        </w:rPr>
        <w:t>Infrastruktūras rīkojuma projekta anotācijas III sadaļā ailēs “</w:t>
      </w:r>
      <w:r w:rsidRPr="00067711">
        <w:rPr>
          <w:iCs/>
        </w:rPr>
        <w:t>saskaņā ar valsts budžetu kārtējam gadam</w:t>
      </w:r>
      <w:r w:rsidRPr="00067711">
        <w:rPr>
          <w:szCs w:val="24"/>
        </w:rPr>
        <w:t>” un “</w:t>
      </w:r>
      <w:r w:rsidRPr="00067711">
        <w:rPr>
          <w:iCs/>
        </w:rPr>
        <w:t>saskaņā ar vidēja termiņa budžeta ietvaru</w:t>
      </w:r>
      <w:r w:rsidRPr="00067711">
        <w:rPr>
          <w:szCs w:val="24"/>
        </w:rPr>
        <w:t>” jāaizpilda 1.punkts, 1.1.apakšpunkts, 2. punkts un 2.1.apakšpunkts, norādot Satiksmes ministrijas budžeta apakšprogrammā 31.04.00 “</w:t>
      </w:r>
      <w:r w:rsidRPr="00067711">
        <w:rPr>
          <w:rFonts w:eastAsia="Calibri"/>
        </w:rPr>
        <w:t>Finansējums dzelzceļa publiskai infrastruktūrai</w:t>
      </w:r>
      <w:r w:rsidRPr="00067711">
        <w:rPr>
          <w:szCs w:val="24"/>
        </w:rPr>
        <w:t>” pieejamos līdzekļus</w:t>
      </w:r>
      <w:r>
        <w:rPr>
          <w:szCs w:val="24"/>
        </w:rPr>
        <w:t>.</w:t>
      </w:r>
    </w:p>
    <w:p w14:paraId="79607B5B" w14:textId="77777777" w:rsidR="005052CB" w:rsidRPr="00067711" w:rsidRDefault="005052CB" w:rsidP="005052CB">
      <w:pPr>
        <w:pStyle w:val="ListParagraph"/>
        <w:numPr>
          <w:ilvl w:val="0"/>
          <w:numId w:val="1"/>
        </w:numPr>
        <w:ind w:left="357" w:hanging="357"/>
        <w:rPr>
          <w:szCs w:val="24"/>
        </w:rPr>
      </w:pPr>
      <w:r w:rsidRPr="00067711">
        <w:rPr>
          <w:szCs w:val="24"/>
        </w:rPr>
        <w:t>Infrastruktūras rīkojuma projekta anotācijā nepieciešams pārskatīt</w:t>
      </w:r>
      <w:r>
        <w:rPr>
          <w:szCs w:val="24"/>
        </w:rPr>
        <w:t xml:space="preserve"> un precizēt</w:t>
      </w:r>
      <w:r w:rsidRPr="00067711">
        <w:rPr>
          <w:szCs w:val="24"/>
        </w:rPr>
        <w:t xml:space="preserve">, lai </w:t>
      </w:r>
      <w:r>
        <w:rPr>
          <w:szCs w:val="24"/>
        </w:rPr>
        <w:t xml:space="preserve">visos anotācijas punktos </w:t>
      </w:r>
      <w:r w:rsidRPr="00067711">
        <w:rPr>
          <w:szCs w:val="24"/>
        </w:rPr>
        <w:t>ir minēts korekts Satiksmes mi</w:t>
      </w:r>
      <w:r>
        <w:rPr>
          <w:szCs w:val="24"/>
        </w:rPr>
        <w:t>nistrijas budžeta apakšprogrammas</w:t>
      </w:r>
      <w:r w:rsidRPr="00067711">
        <w:rPr>
          <w:szCs w:val="24"/>
        </w:rPr>
        <w:t xml:space="preserve"> 31.04.00 </w:t>
      </w:r>
      <w:r>
        <w:rPr>
          <w:szCs w:val="24"/>
        </w:rPr>
        <w:t xml:space="preserve">nosaukums, proti, </w:t>
      </w:r>
      <w:r w:rsidRPr="00067711">
        <w:rPr>
          <w:szCs w:val="24"/>
        </w:rPr>
        <w:t>“Finansējums dzelzceļa publiskai infrastruktūrai”</w:t>
      </w:r>
      <w:r>
        <w:rPr>
          <w:szCs w:val="24"/>
        </w:rPr>
        <w:t>.</w:t>
      </w:r>
    </w:p>
    <w:p w14:paraId="0569484D" w14:textId="77777777" w:rsidR="005052CB" w:rsidRDefault="005052CB" w:rsidP="005052CB">
      <w:pPr>
        <w:rPr>
          <w:szCs w:val="24"/>
        </w:rPr>
      </w:pPr>
    </w:p>
    <w:p w14:paraId="3307575D" w14:textId="77777777" w:rsidR="005052CB" w:rsidRPr="00DF6947" w:rsidRDefault="005052CB" w:rsidP="005052CB">
      <w:pPr>
        <w:ind w:left="720"/>
        <w:rPr>
          <w:szCs w:val="24"/>
        </w:rPr>
      </w:pPr>
      <w:r>
        <w:rPr>
          <w:szCs w:val="24"/>
        </w:rPr>
        <w:t>Ar cieņu</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984"/>
        <w:gridCol w:w="2977"/>
      </w:tblGrid>
      <w:tr w:rsidR="00AA6DC1" w:rsidRPr="00615936" w14:paraId="56D6FF4C" w14:textId="77777777" w:rsidTr="00AA6DC1">
        <w:tc>
          <w:tcPr>
            <w:tcW w:w="4395" w:type="dxa"/>
          </w:tcPr>
          <w:p w14:paraId="3BAF56C3" w14:textId="77777777" w:rsidR="005052CB" w:rsidRDefault="005052CB" w:rsidP="007F3771">
            <w:pPr>
              <w:rPr>
                <w:szCs w:val="24"/>
              </w:rPr>
            </w:pPr>
          </w:p>
          <w:p w14:paraId="50A057B9" w14:textId="77777777" w:rsidR="005052CB" w:rsidRPr="00DF6947" w:rsidRDefault="005052CB" w:rsidP="005052CB">
            <w:pPr>
              <w:rPr>
                <w:szCs w:val="24"/>
              </w:rPr>
            </w:pPr>
            <w:r w:rsidRPr="00DF6947">
              <w:rPr>
                <w:szCs w:val="24"/>
              </w:rPr>
              <w:t xml:space="preserve">valsts sekretāres vietnieces </w:t>
            </w:r>
          </w:p>
          <w:p w14:paraId="325228BA" w14:textId="77777777" w:rsidR="005052CB" w:rsidRDefault="005052CB" w:rsidP="005052CB">
            <w:pPr>
              <w:rPr>
                <w:szCs w:val="24"/>
              </w:rPr>
            </w:pPr>
            <w:r w:rsidRPr="00DF6947">
              <w:rPr>
                <w:szCs w:val="24"/>
              </w:rPr>
              <w:t>budžeta jautājumos vietā –</w:t>
            </w:r>
          </w:p>
          <w:p w14:paraId="14F13D37" w14:textId="77777777" w:rsidR="00AA6DC1" w:rsidRPr="00615936" w:rsidRDefault="00193C50" w:rsidP="005052CB">
            <w:pPr>
              <w:rPr>
                <w:szCs w:val="24"/>
              </w:rPr>
            </w:pPr>
            <w:r>
              <w:rPr>
                <w:szCs w:val="24"/>
              </w:rPr>
              <w:t>Budžeta departamenta direktore</w:t>
            </w:r>
          </w:p>
        </w:tc>
        <w:tc>
          <w:tcPr>
            <w:tcW w:w="1984" w:type="dxa"/>
          </w:tcPr>
          <w:p w14:paraId="05C63210" w14:textId="77777777" w:rsidR="00AA6DC1" w:rsidRDefault="00AA6DC1" w:rsidP="00AA6DC1">
            <w:pPr>
              <w:jc w:val="center"/>
              <w:rPr>
                <w:szCs w:val="24"/>
              </w:rPr>
            </w:pPr>
            <w:bookmarkStart w:id="6" w:name="edoc_info2"/>
            <w:r>
              <w:rPr>
                <w:szCs w:val="24"/>
              </w:rPr>
              <w:t>(paraksts*)</w:t>
            </w:r>
            <w:bookmarkEnd w:id="6"/>
          </w:p>
        </w:tc>
        <w:tc>
          <w:tcPr>
            <w:tcW w:w="2977" w:type="dxa"/>
            <w:vAlign w:val="bottom"/>
          </w:tcPr>
          <w:p w14:paraId="1F7B4371" w14:textId="77777777" w:rsidR="00AA6DC1" w:rsidRPr="00615936" w:rsidRDefault="00193C50" w:rsidP="00483407">
            <w:pPr>
              <w:jc w:val="right"/>
              <w:rPr>
                <w:szCs w:val="24"/>
              </w:rPr>
            </w:pPr>
            <w:proofErr w:type="spellStart"/>
            <w:r>
              <w:rPr>
                <w:szCs w:val="24"/>
              </w:rPr>
              <w:t>T.Trubača</w:t>
            </w:r>
            <w:proofErr w:type="spellEnd"/>
          </w:p>
        </w:tc>
      </w:tr>
      <w:tr w:rsidR="00AA6DC1" w:rsidRPr="00615936" w14:paraId="1EFC1E54" w14:textId="77777777" w:rsidTr="00AA6DC1">
        <w:tc>
          <w:tcPr>
            <w:tcW w:w="4395" w:type="dxa"/>
          </w:tcPr>
          <w:p w14:paraId="110CD7C3" w14:textId="77777777" w:rsidR="00AA6DC1" w:rsidRPr="00615936" w:rsidRDefault="00AA6DC1" w:rsidP="007F3771">
            <w:pPr>
              <w:rPr>
                <w:szCs w:val="24"/>
              </w:rPr>
            </w:pPr>
          </w:p>
        </w:tc>
        <w:tc>
          <w:tcPr>
            <w:tcW w:w="1984" w:type="dxa"/>
          </w:tcPr>
          <w:p w14:paraId="34BDFC74" w14:textId="77777777" w:rsidR="00AA6DC1" w:rsidRPr="00615936" w:rsidRDefault="00AA6DC1" w:rsidP="000C0DD4">
            <w:pPr>
              <w:jc w:val="right"/>
              <w:rPr>
                <w:szCs w:val="24"/>
              </w:rPr>
            </w:pPr>
          </w:p>
        </w:tc>
        <w:tc>
          <w:tcPr>
            <w:tcW w:w="2977" w:type="dxa"/>
            <w:vAlign w:val="bottom"/>
          </w:tcPr>
          <w:p w14:paraId="778AB2D9" w14:textId="77777777" w:rsidR="00AA6DC1" w:rsidRPr="00615936" w:rsidRDefault="00AA6DC1" w:rsidP="000C0DD4">
            <w:pPr>
              <w:jc w:val="right"/>
              <w:rPr>
                <w:szCs w:val="24"/>
              </w:rPr>
            </w:pPr>
          </w:p>
        </w:tc>
      </w:tr>
    </w:tbl>
    <w:tbl>
      <w:tblPr>
        <w:tblW w:w="8647" w:type="dxa"/>
        <w:tblLook w:val="04A0" w:firstRow="1" w:lastRow="0" w:firstColumn="1" w:lastColumn="0" w:noHBand="0" w:noVBand="1"/>
      </w:tblPr>
      <w:tblGrid>
        <w:gridCol w:w="8647"/>
      </w:tblGrid>
      <w:tr w:rsidR="002D6CB4" w14:paraId="0DEFE253" w14:textId="77777777" w:rsidTr="00AA6DC1">
        <w:trPr>
          <w:cantSplit/>
          <w:trHeight w:val="615"/>
        </w:trPr>
        <w:tc>
          <w:tcPr>
            <w:tcW w:w="8647" w:type="dxa"/>
          </w:tcPr>
          <w:p w14:paraId="49243AC8" w14:textId="77777777" w:rsidR="002D6CB4" w:rsidRPr="00AA6DC1" w:rsidRDefault="00AA6DC1" w:rsidP="00AA6DC1">
            <w:pPr>
              <w:pStyle w:val="BodyTextIndent"/>
              <w:tabs>
                <w:tab w:val="left" w:pos="8397"/>
              </w:tabs>
              <w:ind w:left="0"/>
              <w:rPr>
                <w:sz w:val="24"/>
                <w:szCs w:val="24"/>
              </w:rPr>
            </w:pPr>
            <w:bookmarkStart w:id="7" w:name="edoc_info" w:colFirst="0" w:colLast="0"/>
            <w:r w:rsidRPr="00AA6DC1">
              <w:rPr>
                <w:sz w:val="24"/>
                <w:szCs w:val="24"/>
              </w:rPr>
              <w:t>*Dokuments ir parakstīts ar drošu elektronisko parakstu</w:t>
            </w:r>
          </w:p>
        </w:tc>
      </w:tr>
    </w:tbl>
    <w:bookmarkEnd w:id="7"/>
    <w:p w14:paraId="46CA518F" w14:textId="77777777" w:rsidR="00193C50" w:rsidRPr="005052CB" w:rsidRDefault="005052CB" w:rsidP="00550BA5">
      <w:pPr>
        <w:ind w:firstLine="142"/>
        <w:rPr>
          <w:sz w:val="16"/>
          <w:szCs w:val="16"/>
        </w:rPr>
      </w:pPr>
      <w:proofErr w:type="spellStart"/>
      <w:r>
        <w:rPr>
          <w:sz w:val="16"/>
          <w:szCs w:val="16"/>
        </w:rPr>
        <w:t>Federe</w:t>
      </w:r>
      <w:proofErr w:type="spellEnd"/>
      <w:r>
        <w:rPr>
          <w:sz w:val="16"/>
          <w:szCs w:val="16"/>
        </w:rPr>
        <w:t xml:space="preserve"> 67095</w:t>
      </w:r>
      <w:r w:rsidR="00193C50" w:rsidRPr="005052CB">
        <w:rPr>
          <w:sz w:val="16"/>
          <w:szCs w:val="16"/>
        </w:rPr>
        <w:t xml:space="preserve">444 </w:t>
      </w:r>
    </w:p>
    <w:p w14:paraId="5AA7B8C2" w14:textId="77777777" w:rsidR="000C0DD4" w:rsidRPr="005052CB" w:rsidRDefault="00193C50" w:rsidP="005052CB">
      <w:pPr>
        <w:ind w:firstLine="142"/>
        <w:rPr>
          <w:sz w:val="16"/>
          <w:szCs w:val="16"/>
        </w:rPr>
      </w:pPr>
      <w:r w:rsidRPr="005052CB">
        <w:rPr>
          <w:sz w:val="16"/>
          <w:szCs w:val="16"/>
        </w:rPr>
        <w:t>Guna.Federe@fm.gov.lv</w:t>
      </w:r>
    </w:p>
    <w:sectPr w:rsidR="000C0DD4" w:rsidRPr="005052CB" w:rsidSect="002C22B9">
      <w:headerReference w:type="even" r:id="rId8"/>
      <w:headerReference w:type="default" r:id="rId9"/>
      <w:footerReference w:type="even" r:id="rId10"/>
      <w:footerReference w:type="default" r:id="rId11"/>
      <w:headerReference w:type="first" r:id="rId12"/>
      <w:footerReference w:type="first" r:id="rId13"/>
      <w:pgSz w:w="11907" w:h="16840" w:code="9"/>
      <w:pgMar w:top="567" w:right="850"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625D9" w14:textId="77777777" w:rsidR="007C40E4" w:rsidRDefault="007C40E4">
      <w:r>
        <w:separator/>
      </w:r>
    </w:p>
  </w:endnote>
  <w:endnote w:type="continuationSeparator" w:id="0">
    <w:p w14:paraId="28E131B2" w14:textId="77777777" w:rsidR="007C40E4" w:rsidRDefault="007C4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973D7" w14:textId="77777777" w:rsidR="002C22B9" w:rsidRDefault="002C22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22951"/>
      <w:docPartObj>
        <w:docPartGallery w:val="Page Numbers (Bottom of Page)"/>
        <w:docPartUnique/>
      </w:docPartObj>
    </w:sdtPr>
    <w:sdtEndPr/>
    <w:sdtContent>
      <w:p w14:paraId="00FBCEE2" w14:textId="77777777" w:rsidR="0015384D" w:rsidRDefault="00DC1310">
        <w:pPr>
          <w:pStyle w:val="Footer"/>
          <w:jc w:val="center"/>
        </w:pPr>
        <w:r w:rsidRPr="00557B49">
          <w:rPr>
            <w:sz w:val="24"/>
            <w:szCs w:val="24"/>
          </w:rPr>
          <w:fldChar w:fldCharType="begin"/>
        </w:r>
        <w:r w:rsidR="009E200C" w:rsidRPr="00557B49">
          <w:rPr>
            <w:sz w:val="24"/>
            <w:szCs w:val="24"/>
          </w:rPr>
          <w:instrText xml:space="preserve"> PAGE   \* MERGEFORMAT </w:instrText>
        </w:r>
        <w:r w:rsidRPr="00557B49">
          <w:rPr>
            <w:sz w:val="24"/>
            <w:szCs w:val="24"/>
          </w:rPr>
          <w:fldChar w:fldCharType="separate"/>
        </w:r>
        <w:r w:rsidR="007A1C20">
          <w:rPr>
            <w:noProof/>
            <w:sz w:val="24"/>
            <w:szCs w:val="24"/>
          </w:rPr>
          <w:t>2</w:t>
        </w:r>
        <w:r w:rsidRPr="00557B49">
          <w:rPr>
            <w:sz w:val="24"/>
            <w:szCs w:val="24"/>
          </w:rPr>
          <w:fldChar w:fldCharType="end"/>
        </w:r>
      </w:p>
    </w:sdtContent>
  </w:sdt>
  <w:p w14:paraId="573C69F9" w14:textId="77777777" w:rsidR="0015384D" w:rsidRDefault="001538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17A27" w14:textId="77777777" w:rsidR="0015384D" w:rsidRDefault="0015384D">
    <w:pPr>
      <w:pStyle w:val="Footer"/>
      <w:jc w:val="center"/>
    </w:pPr>
  </w:p>
  <w:p w14:paraId="5AC7D267" w14:textId="77777777" w:rsidR="0015384D" w:rsidRDefault="00153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5F8DB" w14:textId="77777777" w:rsidR="007C40E4" w:rsidRDefault="007C40E4">
      <w:r>
        <w:separator/>
      </w:r>
    </w:p>
  </w:footnote>
  <w:footnote w:type="continuationSeparator" w:id="0">
    <w:p w14:paraId="47A4D4A5" w14:textId="77777777" w:rsidR="007C40E4" w:rsidRDefault="007C4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F0D9C" w14:textId="77777777" w:rsidR="00F33DBE" w:rsidRDefault="00DC1310">
    <w:pPr>
      <w:pStyle w:val="Header"/>
      <w:framePr w:wrap="around" w:vAnchor="text" w:hAnchor="margin" w:xAlign="center" w:y="1"/>
      <w:rPr>
        <w:rStyle w:val="PageNumber"/>
      </w:rPr>
    </w:pPr>
    <w:r>
      <w:rPr>
        <w:rStyle w:val="PageNumber"/>
      </w:rPr>
      <w:fldChar w:fldCharType="begin"/>
    </w:r>
    <w:r w:rsidR="00F33DBE">
      <w:rPr>
        <w:rStyle w:val="PageNumber"/>
      </w:rPr>
      <w:instrText xml:space="preserve">PAGE  </w:instrText>
    </w:r>
    <w:r>
      <w:rPr>
        <w:rStyle w:val="PageNumber"/>
      </w:rPr>
      <w:fldChar w:fldCharType="separate"/>
    </w:r>
    <w:r w:rsidR="0015384D">
      <w:rPr>
        <w:rStyle w:val="PageNumber"/>
        <w:noProof/>
      </w:rPr>
      <w:t>2</w:t>
    </w:r>
    <w:r>
      <w:rPr>
        <w:rStyle w:val="PageNumber"/>
      </w:rPr>
      <w:fldChar w:fldCharType="end"/>
    </w:r>
  </w:p>
  <w:p w14:paraId="2C1A0738" w14:textId="77777777" w:rsidR="00F33DBE" w:rsidRDefault="00F33D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5FEB8" w14:textId="77777777" w:rsidR="00F33DBE" w:rsidRDefault="00F33DBE" w:rsidP="008C508E">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36C0A" w14:textId="77777777" w:rsidR="002C22B9" w:rsidRDefault="002C22B9">
    <w:pPr>
      <w:pStyle w:val="Header"/>
    </w:pPr>
  </w:p>
  <w:p w14:paraId="7584B431" w14:textId="77777777" w:rsidR="002C22B9" w:rsidRDefault="002C22B9">
    <w:pPr>
      <w:pStyle w:val="Header"/>
    </w:pPr>
  </w:p>
  <w:p w14:paraId="7F019F9A" w14:textId="77777777" w:rsidR="002C22B9" w:rsidRDefault="002C22B9">
    <w:pPr>
      <w:pStyle w:val="Header"/>
    </w:pPr>
  </w:p>
  <w:p w14:paraId="7C54D50C" w14:textId="77777777" w:rsidR="002C22B9" w:rsidRDefault="0037045B" w:rsidP="002C22B9">
    <w:pPr>
      <w:pStyle w:val="Header"/>
      <w:tabs>
        <w:tab w:val="clear" w:pos="4153"/>
        <w:tab w:val="clear" w:pos="8306"/>
      </w:tabs>
    </w:pPr>
    <w:r>
      <w:rPr>
        <w:noProof/>
        <w:lang w:eastAsia="lv-LV"/>
      </w:rPr>
      <mc:AlternateContent>
        <mc:Choice Requires="wps">
          <w:drawing>
            <wp:anchor distT="0" distB="0" distL="114300" distR="114300" simplePos="0" relativeHeight="251660288" behindDoc="1" locked="0" layoutInCell="1" allowOverlap="1" wp14:anchorId="3D857969" wp14:editId="448F740E">
              <wp:simplePos x="0" y="0"/>
              <wp:positionH relativeFrom="page">
                <wp:posOffset>1066800</wp:posOffset>
              </wp:positionH>
              <wp:positionV relativeFrom="page">
                <wp:posOffset>2030730</wp:posOffset>
              </wp:positionV>
              <wp:extent cx="5943600" cy="314325"/>
              <wp:effectExtent l="0" t="0" r="0" b="9525"/>
              <wp:wrapNone/>
              <wp:docPr id="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276AC" w14:textId="77777777" w:rsidR="002C22B9" w:rsidRDefault="002C22B9" w:rsidP="002C22B9">
                          <w:pPr>
                            <w:spacing w:line="194" w:lineRule="exact"/>
                            <w:ind w:left="20" w:right="-45"/>
                            <w:jc w:val="center"/>
                            <w:rPr>
                              <w:sz w:val="17"/>
                              <w:szCs w:val="17"/>
                            </w:rPr>
                          </w:pPr>
                          <w:r w:rsidRPr="00A41446">
                            <w:rPr>
                              <w:color w:val="231F20"/>
                              <w:sz w:val="17"/>
                              <w:szCs w:val="17"/>
                            </w:rPr>
                            <w:t>Smilšu iela 1, Rīga, LV-1919, tālr. 67095</w:t>
                          </w:r>
                          <w:r>
                            <w:rPr>
                              <w:color w:val="231F20"/>
                              <w:sz w:val="17"/>
                              <w:szCs w:val="17"/>
                            </w:rPr>
                            <w:t>689</w:t>
                          </w:r>
                          <w:r w:rsidRPr="00A41446">
                            <w:rPr>
                              <w:color w:val="231F20"/>
                              <w:sz w:val="17"/>
                              <w:szCs w:val="17"/>
                            </w:rPr>
                            <w:t xml:space="preserve">, </w:t>
                          </w:r>
                          <w:r>
                            <w:rPr>
                              <w:color w:val="231F20"/>
                              <w:sz w:val="17"/>
                              <w:szCs w:val="17"/>
                            </w:rPr>
                            <w:t xml:space="preserve">67095578, </w:t>
                          </w:r>
                          <w:r w:rsidRPr="00A41446">
                            <w:rPr>
                              <w:color w:val="231F20"/>
                              <w:sz w:val="17"/>
                              <w:szCs w:val="17"/>
                            </w:rPr>
                            <w:t>fakss 67095503, e-pasts pasts@fm.gov.lv, www.fm.gov.lv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857969" id="_x0000_t202" coordsize="21600,21600" o:spt="202" path="m,l,21600r21600,l21600,xe">
              <v:stroke joinstyle="miter"/>
              <v:path gradientshapeok="t" o:connecttype="rect"/>
            </v:shapetype>
            <v:shape id="Text Box 43" o:spid="_x0000_s1026" type="#_x0000_t202" style="position:absolute;left:0;text-align:left;margin-left:84pt;margin-top:159.9pt;width:468pt;height:24.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" filled="f" stroked="f">
              <v:textbox inset="0,0,0,0">
                <w:txbxContent>
                  <w:p w14:paraId="296276AC" w14:textId="77777777" w:rsidR="002C22B9" w:rsidRDefault="002C22B9" w:rsidP="002C22B9">
                    <w:pPr>
                      <w:spacing w:line="194" w:lineRule="exact"/>
                      <w:ind w:left="20" w:right="-45"/>
                      <w:jc w:val="center"/>
                      <w:rPr>
                        <w:sz w:val="17"/>
                        <w:szCs w:val="17"/>
                      </w:rPr>
                    </w:pPr>
                    <w:r w:rsidRPr="00A41446">
                      <w:rPr>
                        <w:color w:val="231F20"/>
                        <w:sz w:val="17"/>
                        <w:szCs w:val="17"/>
                      </w:rPr>
                      <w:t>Smilšu iela 1, Rīga, LV-1919, tālr. 67095</w:t>
                    </w:r>
                    <w:r>
                      <w:rPr>
                        <w:color w:val="231F20"/>
                        <w:sz w:val="17"/>
                        <w:szCs w:val="17"/>
                      </w:rPr>
                      <w:t>689</w:t>
                    </w:r>
                    <w:r w:rsidRPr="00A41446">
                      <w:rPr>
                        <w:color w:val="231F20"/>
                        <w:sz w:val="17"/>
                        <w:szCs w:val="17"/>
                      </w:rPr>
                      <w:t xml:space="preserve">, </w:t>
                    </w:r>
                    <w:r>
                      <w:rPr>
                        <w:color w:val="231F20"/>
                        <w:sz w:val="17"/>
                        <w:szCs w:val="17"/>
                      </w:rPr>
                      <w:t xml:space="preserve">67095578, </w:t>
                    </w:r>
                    <w:r w:rsidRPr="00A41446">
                      <w:rPr>
                        <w:color w:val="231F20"/>
                        <w:sz w:val="17"/>
                        <w:szCs w:val="17"/>
                      </w:rPr>
                      <w:t>fakss 67095503, e-pasts pasts@fm.gov.lv, www.fm.gov.lv</w:t>
                    </w:r>
                  </w:p>
                </w:txbxContent>
              </v:textbox>
              <w10:wrap anchorx="page" anchory="page"/>
            </v:shape>
          </w:pict>
        </mc:Fallback>
      </mc:AlternateContent>
    </w:r>
    <w:r w:rsidR="002C22B9" w:rsidRPr="002C22B9">
      <w:rPr>
        <w:noProof/>
        <w:lang w:eastAsia="lv-LV"/>
      </w:rPr>
      <w:drawing>
        <wp:anchor distT="0" distB="0" distL="114300" distR="114300" simplePos="0" relativeHeight="251661312" behindDoc="1" locked="0" layoutInCell="1" allowOverlap="1" wp14:anchorId="4E641ECB" wp14:editId="71FE2630">
          <wp:simplePos x="0" y="0"/>
          <wp:positionH relativeFrom="margin">
            <wp:posOffset>75565</wp:posOffset>
          </wp:positionH>
          <wp:positionV relativeFrom="page">
            <wp:posOffset>711200</wp:posOffset>
          </wp:positionV>
          <wp:extent cx="5914390" cy="1065600"/>
          <wp:effectExtent l="0" t="0" r="0" b="0"/>
          <wp:wrapNone/>
          <wp:docPr id="8" name="Picture 8" descr="C:\Users\it-skrod\Desktop\veidlapas_jaunas\paraugi\vienkrasu_header_veidlapa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skrod\Desktop\veidlapas_jaunas\paraugi\vienkrasu_header_veidlapa_22.png"/>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brightnessContrast contrast="100000"/>
                            </a14:imgEffect>
                          </a14:imgLayer>
                        </a14:imgProps>
                      </a:ext>
                      <a:ext uri="{28A0092B-C50C-407E-A947-70E740481C1C}">
                        <a14:useLocalDpi xmlns:a14="http://schemas.microsoft.com/office/drawing/2010/main" val="0"/>
                      </a:ext>
                    </a:extLst>
                  </a:blip>
                  <a:srcRect l="1249" t="1374" r="-1249" b="-1372"/>
                  <a:stretch/>
                </pic:blipFill>
                <pic:spPr bwMode="auto">
                  <a:xfrm>
                    <a:off x="0" y="0"/>
                    <a:ext cx="5914390" cy="1065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D7E222C" w14:textId="77777777" w:rsidR="002C22B9" w:rsidRDefault="002C22B9">
    <w:pPr>
      <w:pStyle w:val="Header"/>
    </w:pPr>
  </w:p>
  <w:p w14:paraId="4AF1D2B7" w14:textId="77777777" w:rsidR="002C22B9" w:rsidRDefault="002C22B9">
    <w:pPr>
      <w:pStyle w:val="Header"/>
    </w:pPr>
  </w:p>
  <w:p w14:paraId="3A2DA36D" w14:textId="77777777" w:rsidR="002C22B9" w:rsidRDefault="002C22B9">
    <w:pPr>
      <w:pStyle w:val="Header"/>
    </w:pPr>
  </w:p>
  <w:p w14:paraId="03E36A7D" w14:textId="77777777" w:rsidR="002C22B9" w:rsidRDefault="002C22B9">
    <w:pPr>
      <w:pStyle w:val="Header"/>
    </w:pPr>
  </w:p>
  <w:p w14:paraId="4678E160" w14:textId="77777777" w:rsidR="002C22B9" w:rsidRDefault="002C22B9">
    <w:pPr>
      <w:pStyle w:val="Header"/>
    </w:pPr>
  </w:p>
  <w:p w14:paraId="266B00E9" w14:textId="77777777" w:rsidR="002C22B9" w:rsidRDefault="002C22B9">
    <w:pPr>
      <w:pStyle w:val="Header"/>
    </w:pPr>
  </w:p>
  <w:p w14:paraId="720EA6BC" w14:textId="77777777" w:rsidR="002C22B9" w:rsidRDefault="0037045B">
    <w:pPr>
      <w:pStyle w:val="Header"/>
    </w:pPr>
    <w:r>
      <w:rPr>
        <w:noProof/>
        <w:lang w:eastAsia="lv-LV"/>
      </w:rPr>
      <mc:AlternateContent>
        <mc:Choice Requires="wpg">
          <w:drawing>
            <wp:anchor distT="0" distB="0" distL="114300" distR="114300" simplePos="0" relativeHeight="251659264" behindDoc="1" locked="0" layoutInCell="1" allowOverlap="1" wp14:anchorId="3E0BF47A" wp14:editId="6BAEBBAB">
              <wp:simplePos x="0" y="0"/>
              <wp:positionH relativeFrom="margin">
                <wp:posOffset>-34290</wp:posOffset>
              </wp:positionH>
              <wp:positionV relativeFrom="page">
                <wp:posOffset>1903095</wp:posOffset>
              </wp:positionV>
              <wp:extent cx="5937250" cy="45085"/>
              <wp:effectExtent l="0" t="0" r="25400" b="0"/>
              <wp:wrapNone/>
              <wp:docPr id="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0" cy="45085"/>
                        <a:chOff x="2915" y="2998"/>
                        <a:chExt cx="6926" cy="2"/>
                      </a:xfrm>
                    </wpg:grpSpPr>
                    <wps:wsp>
                      <wps:cNvPr id="10"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91F572" id="Group 41" o:spid="_x0000_s1026" style="position:absolute;margin-left:-2.7pt;margin-top:149.85pt;width:467.5pt;height:3.55pt;z-index:-251657216;mso-position-horizontal-relative:margin;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" path="m,l6926,e" filled="f" strokecolor="#231f20" strokeweight=".25pt">
                <v:path arrowok="t" o:connecttype="custom" o:connectlocs="0,0;6926,0" o:connectangles="0,0"/>
              </v:shape>
              <w10:wrap anchorx="margin" anchory="page"/>
            </v:group>
          </w:pict>
        </mc:Fallback>
      </mc:AlternateContent>
    </w:r>
  </w:p>
  <w:p w14:paraId="371F6E10" w14:textId="77777777" w:rsidR="002C22B9" w:rsidRDefault="002C22B9">
    <w:pPr>
      <w:pStyle w:val="Header"/>
    </w:pPr>
  </w:p>
  <w:p w14:paraId="4BCE27B7" w14:textId="77777777" w:rsidR="002C22B9" w:rsidRDefault="002C22B9">
    <w:pPr>
      <w:pStyle w:val="Header"/>
    </w:pPr>
  </w:p>
  <w:p w14:paraId="3ED67165" w14:textId="77777777" w:rsidR="002C22B9" w:rsidRDefault="002C22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313033"/>
    <w:multiLevelType w:val="hybridMultilevel"/>
    <w:tmpl w:val="A502EDD8"/>
    <w:lvl w:ilvl="0" w:tplc="0426000F">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E51"/>
    <w:rsid w:val="0002005E"/>
    <w:rsid w:val="00025906"/>
    <w:rsid w:val="00030D3C"/>
    <w:rsid w:val="00051BDB"/>
    <w:rsid w:val="00054277"/>
    <w:rsid w:val="00062D32"/>
    <w:rsid w:val="00063804"/>
    <w:rsid w:val="000704C8"/>
    <w:rsid w:val="00072A98"/>
    <w:rsid w:val="0008360A"/>
    <w:rsid w:val="000837AB"/>
    <w:rsid w:val="000859B0"/>
    <w:rsid w:val="00086189"/>
    <w:rsid w:val="000A0A49"/>
    <w:rsid w:val="000A2273"/>
    <w:rsid w:val="000A4A49"/>
    <w:rsid w:val="000B5E98"/>
    <w:rsid w:val="000B75CE"/>
    <w:rsid w:val="000C0DD4"/>
    <w:rsid w:val="000C1481"/>
    <w:rsid w:val="000E05A4"/>
    <w:rsid w:val="000E7902"/>
    <w:rsid w:val="00101EF2"/>
    <w:rsid w:val="00102247"/>
    <w:rsid w:val="001042A3"/>
    <w:rsid w:val="00114955"/>
    <w:rsid w:val="00130802"/>
    <w:rsid w:val="001421E1"/>
    <w:rsid w:val="001428D4"/>
    <w:rsid w:val="001459C6"/>
    <w:rsid w:val="00146475"/>
    <w:rsid w:val="00146FE3"/>
    <w:rsid w:val="0015384D"/>
    <w:rsid w:val="00156874"/>
    <w:rsid w:val="00160F55"/>
    <w:rsid w:val="0017402C"/>
    <w:rsid w:val="00176F63"/>
    <w:rsid w:val="00184AB5"/>
    <w:rsid w:val="00193C50"/>
    <w:rsid w:val="001943EE"/>
    <w:rsid w:val="001D78A7"/>
    <w:rsid w:val="001E01C4"/>
    <w:rsid w:val="001F53D9"/>
    <w:rsid w:val="002016B3"/>
    <w:rsid w:val="00203705"/>
    <w:rsid w:val="0021300E"/>
    <w:rsid w:val="00220CEE"/>
    <w:rsid w:val="00224396"/>
    <w:rsid w:val="00227D91"/>
    <w:rsid w:val="0023013F"/>
    <w:rsid w:val="00235349"/>
    <w:rsid w:val="00244390"/>
    <w:rsid w:val="00260557"/>
    <w:rsid w:val="00261352"/>
    <w:rsid w:val="002644F0"/>
    <w:rsid w:val="00266CF2"/>
    <w:rsid w:val="00267E3D"/>
    <w:rsid w:val="00292E11"/>
    <w:rsid w:val="0029448D"/>
    <w:rsid w:val="002A20A3"/>
    <w:rsid w:val="002B2B9A"/>
    <w:rsid w:val="002C22B9"/>
    <w:rsid w:val="002D0DAE"/>
    <w:rsid w:val="002D2EFD"/>
    <w:rsid w:val="002D6CB4"/>
    <w:rsid w:val="002E06CD"/>
    <w:rsid w:val="002E288C"/>
    <w:rsid w:val="002F5D59"/>
    <w:rsid w:val="003026CE"/>
    <w:rsid w:val="00302D28"/>
    <w:rsid w:val="00304112"/>
    <w:rsid w:val="003043C9"/>
    <w:rsid w:val="00314B6D"/>
    <w:rsid w:val="0031519D"/>
    <w:rsid w:val="00325CE2"/>
    <w:rsid w:val="00330C2A"/>
    <w:rsid w:val="00332AF9"/>
    <w:rsid w:val="00341839"/>
    <w:rsid w:val="0037045B"/>
    <w:rsid w:val="00374C0D"/>
    <w:rsid w:val="00380855"/>
    <w:rsid w:val="00383D87"/>
    <w:rsid w:val="00386F28"/>
    <w:rsid w:val="00392EBE"/>
    <w:rsid w:val="00393EB9"/>
    <w:rsid w:val="00396BF4"/>
    <w:rsid w:val="003A324A"/>
    <w:rsid w:val="003B329B"/>
    <w:rsid w:val="003B4764"/>
    <w:rsid w:val="003D09AE"/>
    <w:rsid w:val="003D179D"/>
    <w:rsid w:val="003F2252"/>
    <w:rsid w:val="003F2673"/>
    <w:rsid w:val="003F4635"/>
    <w:rsid w:val="003F79A5"/>
    <w:rsid w:val="004059A7"/>
    <w:rsid w:val="004218E7"/>
    <w:rsid w:val="004241B4"/>
    <w:rsid w:val="00434A02"/>
    <w:rsid w:val="0043643E"/>
    <w:rsid w:val="004478B9"/>
    <w:rsid w:val="00474D18"/>
    <w:rsid w:val="00483407"/>
    <w:rsid w:val="004E2880"/>
    <w:rsid w:val="004E45F2"/>
    <w:rsid w:val="004E4C3B"/>
    <w:rsid w:val="004F221F"/>
    <w:rsid w:val="004F32A1"/>
    <w:rsid w:val="004F671B"/>
    <w:rsid w:val="004F7DFD"/>
    <w:rsid w:val="005052CB"/>
    <w:rsid w:val="005053F3"/>
    <w:rsid w:val="00513B65"/>
    <w:rsid w:val="00526E86"/>
    <w:rsid w:val="0053353D"/>
    <w:rsid w:val="00546FDE"/>
    <w:rsid w:val="00550841"/>
    <w:rsid w:val="00550BA5"/>
    <w:rsid w:val="00557B49"/>
    <w:rsid w:val="0056044A"/>
    <w:rsid w:val="00566B07"/>
    <w:rsid w:val="00583887"/>
    <w:rsid w:val="00583F38"/>
    <w:rsid w:val="005846CE"/>
    <w:rsid w:val="00584ED6"/>
    <w:rsid w:val="005910E7"/>
    <w:rsid w:val="005A0BBB"/>
    <w:rsid w:val="005D7171"/>
    <w:rsid w:val="005E3D1E"/>
    <w:rsid w:val="005F206A"/>
    <w:rsid w:val="005F3139"/>
    <w:rsid w:val="00613984"/>
    <w:rsid w:val="00615936"/>
    <w:rsid w:val="006205B8"/>
    <w:rsid w:val="00622CFD"/>
    <w:rsid w:val="006240D2"/>
    <w:rsid w:val="00636996"/>
    <w:rsid w:val="00642EE6"/>
    <w:rsid w:val="00643F3C"/>
    <w:rsid w:val="006610B8"/>
    <w:rsid w:val="00667635"/>
    <w:rsid w:val="00683E8B"/>
    <w:rsid w:val="00697AB8"/>
    <w:rsid w:val="006A05F7"/>
    <w:rsid w:val="006A2FA5"/>
    <w:rsid w:val="006A3594"/>
    <w:rsid w:val="006A707B"/>
    <w:rsid w:val="006B33CB"/>
    <w:rsid w:val="006B42A2"/>
    <w:rsid w:val="006D24EC"/>
    <w:rsid w:val="006D6710"/>
    <w:rsid w:val="006E45DD"/>
    <w:rsid w:val="006E689E"/>
    <w:rsid w:val="006E6DBE"/>
    <w:rsid w:val="00701105"/>
    <w:rsid w:val="0070258A"/>
    <w:rsid w:val="00706C69"/>
    <w:rsid w:val="0070718E"/>
    <w:rsid w:val="0071276C"/>
    <w:rsid w:val="00730E2D"/>
    <w:rsid w:val="00733696"/>
    <w:rsid w:val="00733C31"/>
    <w:rsid w:val="007523B6"/>
    <w:rsid w:val="00765592"/>
    <w:rsid w:val="00786DAF"/>
    <w:rsid w:val="00792DE6"/>
    <w:rsid w:val="007A1C20"/>
    <w:rsid w:val="007A5BA9"/>
    <w:rsid w:val="007A73EC"/>
    <w:rsid w:val="007B32A0"/>
    <w:rsid w:val="007C40E4"/>
    <w:rsid w:val="007C5B7E"/>
    <w:rsid w:val="007E021E"/>
    <w:rsid w:val="007E7EA0"/>
    <w:rsid w:val="007F3771"/>
    <w:rsid w:val="007F6888"/>
    <w:rsid w:val="00812E64"/>
    <w:rsid w:val="008237C6"/>
    <w:rsid w:val="00826D51"/>
    <w:rsid w:val="008360BD"/>
    <w:rsid w:val="00837277"/>
    <w:rsid w:val="008606E7"/>
    <w:rsid w:val="0086567E"/>
    <w:rsid w:val="00866595"/>
    <w:rsid w:val="00875EF1"/>
    <w:rsid w:val="00884446"/>
    <w:rsid w:val="00886C8A"/>
    <w:rsid w:val="008A5EC1"/>
    <w:rsid w:val="008C508E"/>
    <w:rsid w:val="008C65E9"/>
    <w:rsid w:val="008D22AE"/>
    <w:rsid w:val="008E4EA4"/>
    <w:rsid w:val="008E4FE5"/>
    <w:rsid w:val="008F1369"/>
    <w:rsid w:val="008F15DF"/>
    <w:rsid w:val="008F2376"/>
    <w:rsid w:val="00903B9C"/>
    <w:rsid w:val="00911470"/>
    <w:rsid w:val="00920076"/>
    <w:rsid w:val="009212D8"/>
    <w:rsid w:val="009328EF"/>
    <w:rsid w:val="00963ACC"/>
    <w:rsid w:val="00973529"/>
    <w:rsid w:val="009819D5"/>
    <w:rsid w:val="0098433C"/>
    <w:rsid w:val="00996DC8"/>
    <w:rsid w:val="009B2296"/>
    <w:rsid w:val="009B7929"/>
    <w:rsid w:val="009C643F"/>
    <w:rsid w:val="009E200C"/>
    <w:rsid w:val="009F3293"/>
    <w:rsid w:val="009F77B9"/>
    <w:rsid w:val="00A03231"/>
    <w:rsid w:val="00A17946"/>
    <w:rsid w:val="00A21D44"/>
    <w:rsid w:val="00A30AED"/>
    <w:rsid w:val="00A318B0"/>
    <w:rsid w:val="00A4004D"/>
    <w:rsid w:val="00A54546"/>
    <w:rsid w:val="00A87DFA"/>
    <w:rsid w:val="00A94030"/>
    <w:rsid w:val="00AA21A4"/>
    <w:rsid w:val="00AA6DC1"/>
    <w:rsid w:val="00AA74E7"/>
    <w:rsid w:val="00AB2288"/>
    <w:rsid w:val="00AB278E"/>
    <w:rsid w:val="00AC60C1"/>
    <w:rsid w:val="00AD576B"/>
    <w:rsid w:val="00AE2200"/>
    <w:rsid w:val="00AF21C7"/>
    <w:rsid w:val="00B26E48"/>
    <w:rsid w:val="00B30E51"/>
    <w:rsid w:val="00B45C16"/>
    <w:rsid w:val="00B9570C"/>
    <w:rsid w:val="00BB4400"/>
    <w:rsid w:val="00BD24E4"/>
    <w:rsid w:val="00BE3E7A"/>
    <w:rsid w:val="00BE5011"/>
    <w:rsid w:val="00BE78C7"/>
    <w:rsid w:val="00BF11EB"/>
    <w:rsid w:val="00BF233C"/>
    <w:rsid w:val="00C038B7"/>
    <w:rsid w:val="00C041F7"/>
    <w:rsid w:val="00C04DED"/>
    <w:rsid w:val="00C21975"/>
    <w:rsid w:val="00C345B8"/>
    <w:rsid w:val="00C375DF"/>
    <w:rsid w:val="00C44804"/>
    <w:rsid w:val="00C45100"/>
    <w:rsid w:val="00C50C30"/>
    <w:rsid w:val="00C53A90"/>
    <w:rsid w:val="00C54CFF"/>
    <w:rsid w:val="00C56C1D"/>
    <w:rsid w:val="00C6145F"/>
    <w:rsid w:val="00C640B7"/>
    <w:rsid w:val="00C81055"/>
    <w:rsid w:val="00C87CD4"/>
    <w:rsid w:val="00CD3BB8"/>
    <w:rsid w:val="00CE0655"/>
    <w:rsid w:val="00CF7CC2"/>
    <w:rsid w:val="00D0332A"/>
    <w:rsid w:val="00D06A60"/>
    <w:rsid w:val="00D1142D"/>
    <w:rsid w:val="00D149A6"/>
    <w:rsid w:val="00D3049B"/>
    <w:rsid w:val="00D4070C"/>
    <w:rsid w:val="00D462B6"/>
    <w:rsid w:val="00D51CC7"/>
    <w:rsid w:val="00D57801"/>
    <w:rsid w:val="00D65123"/>
    <w:rsid w:val="00D70A7C"/>
    <w:rsid w:val="00D73652"/>
    <w:rsid w:val="00D873B0"/>
    <w:rsid w:val="00DA3EAF"/>
    <w:rsid w:val="00DA7256"/>
    <w:rsid w:val="00DA7D9E"/>
    <w:rsid w:val="00DB1E3A"/>
    <w:rsid w:val="00DB5AB6"/>
    <w:rsid w:val="00DC1310"/>
    <w:rsid w:val="00DC1600"/>
    <w:rsid w:val="00DC461E"/>
    <w:rsid w:val="00DD4524"/>
    <w:rsid w:val="00DD56CC"/>
    <w:rsid w:val="00DD5E25"/>
    <w:rsid w:val="00DE7EC9"/>
    <w:rsid w:val="00DF1EC1"/>
    <w:rsid w:val="00DF75CE"/>
    <w:rsid w:val="00E04F00"/>
    <w:rsid w:val="00E0527A"/>
    <w:rsid w:val="00E13483"/>
    <w:rsid w:val="00E15F9B"/>
    <w:rsid w:val="00E25982"/>
    <w:rsid w:val="00E264CB"/>
    <w:rsid w:val="00E3743F"/>
    <w:rsid w:val="00E44ADB"/>
    <w:rsid w:val="00E71316"/>
    <w:rsid w:val="00E93E7D"/>
    <w:rsid w:val="00E95294"/>
    <w:rsid w:val="00EA7310"/>
    <w:rsid w:val="00EB1825"/>
    <w:rsid w:val="00EB2C30"/>
    <w:rsid w:val="00EE1908"/>
    <w:rsid w:val="00EF2339"/>
    <w:rsid w:val="00F06A13"/>
    <w:rsid w:val="00F14918"/>
    <w:rsid w:val="00F220D5"/>
    <w:rsid w:val="00F33DBE"/>
    <w:rsid w:val="00F33E54"/>
    <w:rsid w:val="00F35615"/>
    <w:rsid w:val="00F365B1"/>
    <w:rsid w:val="00F37820"/>
    <w:rsid w:val="00F462A6"/>
    <w:rsid w:val="00F62E54"/>
    <w:rsid w:val="00F84ADE"/>
    <w:rsid w:val="00F949B7"/>
    <w:rsid w:val="00F952BC"/>
    <w:rsid w:val="00FB1DB2"/>
    <w:rsid w:val="00FB225E"/>
    <w:rsid w:val="00FE2AC9"/>
    <w:rsid w:val="00FE7A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398E8A"/>
  <w15:docId w15:val="{2CD99BFC-0B14-4ABE-B442-61A8F7709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EA4"/>
    <w:pPr>
      <w:jc w:val="both"/>
    </w:pPr>
    <w:rPr>
      <w:sz w:val="24"/>
      <w:lang w:eastAsia="en-US"/>
    </w:rPr>
  </w:style>
  <w:style w:type="paragraph" w:styleId="Heading1">
    <w:name w:val="heading 1"/>
    <w:basedOn w:val="Normal"/>
    <w:next w:val="Normal"/>
    <w:qFormat/>
    <w:rsid w:val="00903B9C"/>
    <w:pPr>
      <w:keepNext/>
      <w:spacing w:before="240" w:after="60"/>
      <w:outlineLvl w:val="0"/>
    </w:pPr>
    <w:rPr>
      <w:b/>
      <w:kern w:val="28"/>
      <w:sz w:val="28"/>
    </w:rPr>
  </w:style>
  <w:style w:type="paragraph" w:styleId="Heading2">
    <w:name w:val="heading 2"/>
    <w:basedOn w:val="Normal"/>
    <w:next w:val="Normal"/>
    <w:qFormat/>
    <w:rsid w:val="00903B9C"/>
    <w:pPr>
      <w:keepNext/>
      <w:spacing w:before="240" w:after="60"/>
      <w:outlineLvl w:val="1"/>
    </w:pPr>
    <w:rPr>
      <w:b/>
      <w:sz w:val="26"/>
    </w:rPr>
  </w:style>
  <w:style w:type="paragraph" w:styleId="Heading3">
    <w:name w:val="heading 3"/>
    <w:basedOn w:val="Normal"/>
    <w:next w:val="Normal"/>
    <w:qFormat/>
    <w:rsid w:val="00903B9C"/>
    <w:pPr>
      <w:keepNext/>
      <w:spacing w:before="240" w:after="60"/>
      <w:outlineLvl w:val="2"/>
    </w:pPr>
    <w:rPr>
      <w:b/>
    </w:rPr>
  </w:style>
  <w:style w:type="paragraph" w:styleId="Heading4">
    <w:name w:val="heading 4"/>
    <w:basedOn w:val="Normal"/>
    <w:next w:val="Normal"/>
    <w:qFormat/>
    <w:rsid w:val="00903B9C"/>
    <w:pPr>
      <w:keepNext/>
      <w:jc w:val="center"/>
      <w:outlineLvl w:val="3"/>
    </w:pPr>
    <w:rPr>
      <w:spacing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3B9C"/>
    <w:pPr>
      <w:tabs>
        <w:tab w:val="center" w:pos="4153"/>
        <w:tab w:val="right" w:pos="8306"/>
      </w:tabs>
    </w:pPr>
    <w:rPr>
      <w:sz w:val="18"/>
    </w:rPr>
  </w:style>
  <w:style w:type="paragraph" w:styleId="Footer">
    <w:name w:val="footer"/>
    <w:basedOn w:val="Normal"/>
    <w:link w:val="FooterChar"/>
    <w:uiPriority w:val="99"/>
    <w:rsid w:val="00903B9C"/>
    <w:pPr>
      <w:tabs>
        <w:tab w:val="center" w:pos="4153"/>
        <w:tab w:val="right" w:pos="8306"/>
      </w:tabs>
    </w:pPr>
    <w:rPr>
      <w:sz w:val="18"/>
    </w:rPr>
  </w:style>
  <w:style w:type="character" w:styleId="PageNumber">
    <w:name w:val="page number"/>
    <w:rsid w:val="00903B9C"/>
    <w:rPr>
      <w:rFonts w:ascii="Times New Roman" w:hAnsi="Times New Roman"/>
    </w:rPr>
  </w:style>
  <w:style w:type="paragraph" w:styleId="Caption">
    <w:name w:val="caption"/>
    <w:basedOn w:val="Normal"/>
    <w:next w:val="Normal"/>
    <w:qFormat/>
    <w:rsid w:val="00903B9C"/>
    <w:pPr>
      <w:framePr w:w="9083" w:hSpace="181" w:wrap="around" w:vAnchor="page" w:hAnchor="page" w:x="1702" w:y="579" w:anchorLock="1"/>
      <w:pBdr>
        <w:bottom w:val="single" w:sz="6" w:space="4" w:color="auto"/>
      </w:pBdr>
      <w:jc w:val="center"/>
    </w:pPr>
    <w:rPr>
      <w:spacing w:val="2"/>
      <w:sz w:val="28"/>
    </w:rPr>
  </w:style>
  <w:style w:type="paragraph" w:styleId="FootnoteText">
    <w:name w:val="footnote text"/>
    <w:basedOn w:val="Normal"/>
    <w:link w:val="FootnoteTextChar"/>
    <w:semiHidden/>
    <w:rsid w:val="00903B9C"/>
    <w:rPr>
      <w:sz w:val="20"/>
    </w:rPr>
  </w:style>
  <w:style w:type="character" w:styleId="FootnoteReference">
    <w:name w:val="footnote reference"/>
    <w:semiHidden/>
    <w:rsid w:val="00903B9C"/>
    <w:rPr>
      <w:rFonts w:ascii="Times New Roman" w:hAnsi="Times New Roman"/>
      <w:vertAlign w:val="superscript"/>
    </w:rPr>
  </w:style>
  <w:style w:type="paragraph" w:styleId="DocumentMap">
    <w:name w:val="Document Map"/>
    <w:basedOn w:val="Normal"/>
    <w:semiHidden/>
    <w:rsid w:val="00903B9C"/>
    <w:pPr>
      <w:shd w:val="clear" w:color="auto" w:fill="000080"/>
    </w:pPr>
    <w:rPr>
      <w:rFonts w:ascii="Tahoma" w:hAnsi="Tahoma" w:cs="Tahoma"/>
    </w:rPr>
  </w:style>
  <w:style w:type="character" w:styleId="Hyperlink">
    <w:name w:val="Hyperlink"/>
    <w:rsid w:val="00101EF2"/>
    <w:rPr>
      <w:color w:val="0000FF"/>
      <w:u w:val="single"/>
    </w:rPr>
  </w:style>
  <w:style w:type="paragraph" w:styleId="BalloonText">
    <w:name w:val="Balloon Text"/>
    <w:basedOn w:val="Normal"/>
    <w:semiHidden/>
    <w:rsid w:val="00884446"/>
    <w:rPr>
      <w:rFonts w:ascii="Tahoma" w:hAnsi="Tahoma" w:cs="Tahoma"/>
      <w:sz w:val="16"/>
      <w:szCs w:val="16"/>
    </w:rPr>
  </w:style>
  <w:style w:type="character" w:customStyle="1" w:styleId="FootnoteTextChar">
    <w:name w:val="Footnote Text Char"/>
    <w:link w:val="FootnoteText"/>
    <w:semiHidden/>
    <w:rsid w:val="008F15DF"/>
    <w:rPr>
      <w:lang w:eastAsia="en-US"/>
    </w:rPr>
  </w:style>
  <w:style w:type="character" w:customStyle="1" w:styleId="FooterChar">
    <w:name w:val="Footer Char"/>
    <w:basedOn w:val="DefaultParagraphFont"/>
    <w:link w:val="Footer"/>
    <w:uiPriority w:val="99"/>
    <w:rsid w:val="006D6710"/>
    <w:rPr>
      <w:sz w:val="18"/>
      <w:lang w:eastAsia="en-US"/>
    </w:rPr>
  </w:style>
  <w:style w:type="paragraph" w:styleId="BodyTextIndent">
    <w:name w:val="Body Text Indent"/>
    <w:basedOn w:val="Normal"/>
    <w:link w:val="BodyTextIndentChar"/>
    <w:uiPriority w:val="99"/>
    <w:unhideWhenUsed/>
    <w:rsid w:val="002D6CB4"/>
    <w:pPr>
      <w:spacing w:before="120" w:after="120"/>
      <w:ind w:left="283"/>
      <w:jc w:val="left"/>
    </w:pPr>
    <w:rPr>
      <w:sz w:val="20"/>
    </w:rPr>
  </w:style>
  <w:style w:type="character" w:customStyle="1" w:styleId="BodyTextIndentChar">
    <w:name w:val="Body Text Indent Char"/>
    <w:basedOn w:val="DefaultParagraphFont"/>
    <w:link w:val="BodyTextIndent"/>
    <w:uiPriority w:val="99"/>
    <w:rsid w:val="002D6CB4"/>
    <w:rPr>
      <w:lang w:eastAsia="en-US"/>
    </w:rPr>
  </w:style>
  <w:style w:type="character" w:styleId="PlaceholderText">
    <w:name w:val="Placeholder Text"/>
    <w:basedOn w:val="DefaultParagraphFont"/>
    <w:uiPriority w:val="99"/>
    <w:semiHidden/>
    <w:rsid w:val="00826D51"/>
    <w:rPr>
      <w:color w:val="808080"/>
    </w:rPr>
  </w:style>
  <w:style w:type="table" w:styleId="TableGrid">
    <w:name w:val="Table Grid"/>
    <w:basedOn w:val="TableNormal"/>
    <w:uiPriority w:val="59"/>
    <w:rsid w:val="004E4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52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3217">
      <w:bodyDiv w:val="1"/>
      <w:marLeft w:val="0"/>
      <w:marRight w:val="0"/>
      <w:marTop w:val="0"/>
      <w:marBottom w:val="0"/>
      <w:divBdr>
        <w:top w:val="none" w:sz="0" w:space="0" w:color="auto"/>
        <w:left w:val="none" w:sz="0" w:space="0" w:color="auto"/>
        <w:bottom w:val="none" w:sz="0" w:space="0" w:color="auto"/>
        <w:right w:val="none" w:sz="0" w:space="0" w:color="auto"/>
      </w:divBdr>
    </w:div>
    <w:div w:id="163015375">
      <w:bodyDiv w:val="1"/>
      <w:marLeft w:val="0"/>
      <w:marRight w:val="0"/>
      <w:marTop w:val="0"/>
      <w:marBottom w:val="0"/>
      <w:divBdr>
        <w:top w:val="none" w:sz="0" w:space="0" w:color="auto"/>
        <w:left w:val="none" w:sz="0" w:space="0" w:color="auto"/>
        <w:bottom w:val="none" w:sz="0" w:space="0" w:color="auto"/>
        <w:right w:val="none" w:sz="0" w:space="0" w:color="auto"/>
      </w:divBdr>
    </w:div>
    <w:div w:id="253784472">
      <w:bodyDiv w:val="1"/>
      <w:marLeft w:val="0"/>
      <w:marRight w:val="0"/>
      <w:marTop w:val="0"/>
      <w:marBottom w:val="0"/>
      <w:divBdr>
        <w:top w:val="none" w:sz="0" w:space="0" w:color="auto"/>
        <w:left w:val="none" w:sz="0" w:space="0" w:color="auto"/>
        <w:bottom w:val="none" w:sz="0" w:space="0" w:color="auto"/>
        <w:right w:val="none" w:sz="0" w:space="0" w:color="auto"/>
      </w:divBdr>
    </w:div>
    <w:div w:id="557320575">
      <w:bodyDiv w:val="1"/>
      <w:marLeft w:val="0"/>
      <w:marRight w:val="0"/>
      <w:marTop w:val="0"/>
      <w:marBottom w:val="0"/>
      <w:divBdr>
        <w:top w:val="none" w:sz="0" w:space="0" w:color="auto"/>
        <w:left w:val="none" w:sz="0" w:space="0" w:color="auto"/>
        <w:bottom w:val="none" w:sz="0" w:space="0" w:color="auto"/>
        <w:right w:val="none" w:sz="0" w:space="0" w:color="auto"/>
      </w:divBdr>
    </w:div>
    <w:div w:id="566110072">
      <w:bodyDiv w:val="1"/>
      <w:marLeft w:val="0"/>
      <w:marRight w:val="0"/>
      <w:marTop w:val="0"/>
      <w:marBottom w:val="0"/>
      <w:divBdr>
        <w:top w:val="none" w:sz="0" w:space="0" w:color="auto"/>
        <w:left w:val="none" w:sz="0" w:space="0" w:color="auto"/>
        <w:bottom w:val="none" w:sz="0" w:space="0" w:color="auto"/>
        <w:right w:val="none" w:sz="0" w:space="0" w:color="auto"/>
      </w:divBdr>
    </w:div>
    <w:div w:id="844393798">
      <w:bodyDiv w:val="1"/>
      <w:marLeft w:val="0"/>
      <w:marRight w:val="0"/>
      <w:marTop w:val="0"/>
      <w:marBottom w:val="0"/>
      <w:divBdr>
        <w:top w:val="none" w:sz="0" w:space="0" w:color="auto"/>
        <w:left w:val="none" w:sz="0" w:space="0" w:color="auto"/>
        <w:bottom w:val="none" w:sz="0" w:space="0" w:color="auto"/>
        <w:right w:val="none" w:sz="0" w:space="0" w:color="auto"/>
      </w:divBdr>
    </w:div>
    <w:div w:id="960914943">
      <w:bodyDiv w:val="1"/>
      <w:marLeft w:val="0"/>
      <w:marRight w:val="0"/>
      <w:marTop w:val="0"/>
      <w:marBottom w:val="0"/>
      <w:divBdr>
        <w:top w:val="none" w:sz="0" w:space="0" w:color="auto"/>
        <w:left w:val="none" w:sz="0" w:space="0" w:color="auto"/>
        <w:bottom w:val="none" w:sz="0" w:space="0" w:color="auto"/>
        <w:right w:val="none" w:sz="0" w:space="0" w:color="auto"/>
      </w:divBdr>
    </w:div>
    <w:div w:id="982393156">
      <w:bodyDiv w:val="1"/>
      <w:marLeft w:val="0"/>
      <w:marRight w:val="0"/>
      <w:marTop w:val="0"/>
      <w:marBottom w:val="0"/>
      <w:divBdr>
        <w:top w:val="none" w:sz="0" w:space="0" w:color="auto"/>
        <w:left w:val="none" w:sz="0" w:space="0" w:color="auto"/>
        <w:bottom w:val="none" w:sz="0" w:space="0" w:color="auto"/>
        <w:right w:val="none" w:sz="0" w:space="0" w:color="auto"/>
      </w:divBdr>
    </w:div>
    <w:div w:id="1021977085">
      <w:bodyDiv w:val="1"/>
      <w:marLeft w:val="0"/>
      <w:marRight w:val="0"/>
      <w:marTop w:val="0"/>
      <w:marBottom w:val="0"/>
      <w:divBdr>
        <w:top w:val="none" w:sz="0" w:space="0" w:color="auto"/>
        <w:left w:val="none" w:sz="0" w:space="0" w:color="auto"/>
        <w:bottom w:val="none" w:sz="0" w:space="0" w:color="auto"/>
        <w:right w:val="none" w:sz="0" w:space="0" w:color="auto"/>
      </w:divBdr>
    </w:div>
    <w:div w:id="1057512489">
      <w:bodyDiv w:val="1"/>
      <w:marLeft w:val="0"/>
      <w:marRight w:val="0"/>
      <w:marTop w:val="0"/>
      <w:marBottom w:val="0"/>
      <w:divBdr>
        <w:top w:val="none" w:sz="0" w:space="0" w:color="auto"/>
        <w:left w:val="none" w:sz="0" w:space="0" w:color="auto"/>
        <w:bottom w:val="none" w:sz="0" w:space="0" w:color="auto"/>
        <w:right w:val="none" w:sz="0" w:space="0" w:color="auto"/>
      </w:divBdr>
    </w:div>
    <w:div w:id="1175221815">
      <w:bodyDiv w:val="1"/>
      <w:marLeft w:val="0"/>
      <w:marRight w:val="0"/>
      <w:marTop w:val="0"/>
      <w:marBottom w:val="0"/>
      <w:divBdr>
        <w:top w:val="none" w:sz="0" w:space="0" w:color="auto"/>
        <w:left w:val="none" w:sz="0" w:space="0" w:color="auto"/>
        <w:bottom w:val="none" w:sz="0" w:space="0" w:color="auto"/>
        <w:right w:val="none" w:sz="0" w:space="0" w:color="auto"/>
      </w:divBdr>
    </w:div>
    <w:div w:id="1204176316">
      <w:bodyDiv w:val="1"/>
      <w:marLeft w:val="0"/>
      <w:marRight w:val="0"/>
      <w:marTop w:val="0"/>
      <w:marBottom w:val="0"/>
      <w:divBdr>
        <w:top w:val="none" w:sz="0" w:space="0" w:color="auto"/>
        <w:left w:val="none" w:sz="0" w:space="0" w:color="auto"/>
        <w:bottom w:val="none" w:sz="0" w:space="0" w:color="auto"/>
        <w:right w:val="none" w:sz="0" w:space="0" w:color="auto"/>
      </w:divBdr>
    </w:div>
    <w:div w:id="1238594022">
      <w:bodyDiv w:val="1"/>
      <w:marLeft w:val="0"/>
      <w:marRight w:val="0"/>
      <w:marTop w:val="0"/>
      <w:marBottom w:val="0"/>
      <w:divBdr>
        <w:top w:val="none" w:sz="0" w:space="0" w:color="auto"/>
        <w:left w:val="none" w:sz="0" w:space="0" w:color="auto"/>
        <w:bottom w:val="none" w:sz="0" w:space="0" w:color="auto"/>
        <w:right w:val="none" w:sz="0" w:space="0" w:color="auto"/>
      </w:divBdr>
    </w:div>
    <w:div w:id="1246501274">
      <w:bodyDiv w:val="1"/>
      <w:marLeft w:val="0"/>
      <w:marRight w:val="0"/>
      <w:marTop w:val="0"/>
      <w:marBottom w:val="0"/>
      <w:divBdr>
        <w:top w:val="none" w:sz="0" w:space="0" w:color="auto"/>
        <w:left w:val="none" w:sz="0" w:space="0" w:color="auto"/>
        <w:bottom w:val="none" w:sz="0" w:space="0" w:color="auto"/>
        <w:right w:val="none" w:sz="0" w:space="0" w:color="auto"/>
      </w:divBdr>
    </w:div>
    <w:div w:id="1285967147">
      <w:bodyDiv w:val="1"/>
      <w:marLeft w:val="0"/>
      <w:marRight w:val="0"/>
      <w:marTop w:val="0"/>
      <w:marBottom w:val="0"/>
      <w:divBdr>
        <w:top w:val="none" w:sz="0" w:space="0" w:color="auto"/>
        <w:left w:val="none" w:sz="0" w:space="0" w:color="auto"/>
        <w:bottom w:val="none" w:sz="0" w:space="0" w:color="auto"/>
        <w:right w:val="none" w:sz="0" w:space="0" w:color="auto"/>
      </w:divBdr>
    </w:div>
    <w:div w:id="1457871076">
      <w:bodyDiv w:val="1"/>
      <w:marLeft w:val="0"/>
      <w:marRight w:val="0"/>
      <w:marTop w:val="0"/>
      <w:marBottom w:val="0"/>
      <w:divBdr>
        <w:top w:val="none" w:sz="0" w:space="0" w:color="auto"/>
        <w:left w:val="none" w:sz="0" w:space="0" w:color="auto"/>
        <w:bottom w:val="none" w:sz="0" w:space="0" w:color="auto"/>
        <w:right w:val="none" w:sz="0" w:space="0" w:color="auto"/>
      </w:divBdr>
    </w:div>
    <w:div w:id="1486314849">
      <w:bodyDiv w:val="1"/>
      <w:marLeft w:val="0"/>
      <w:marRight w:val="0"/>
      <w:marTop w:val="0"/>
      <w:marBottom w:val="0"/>
      <w:divBdr>
        <w:top w:val="none" w:sz="0" w:space="0" w:color="auto"/>
        <w:left w:val="none" w:sz="0" w:space="0" w:color="auto"/>
        <w:bottom w:val="none" w:sz="0" w:space="0" w:color="auto"/>
        <w:right w:val="none" w:sz="0" w:space="0" w:color="auto"/>
      </w:divBdr>
    </w:div>
    <w:div w:id="1535315218">
      <w:bodyDiv w:val="1"/>
      <w:marLeft w:val="0"/>
      <w:marRight w:val="0"/>
      <w:marTop w:val="0"/>
      <w:marBottom w:val="0"/>
      <w:divBdr>
        <w:top w:val="none" w:sz="0" w:space="0" w:color="auto"/>
        <w:left w:val="none" w:sz="0" w:space="0" w:color="auto"/>
        <w:bottom w:val="none" w:sz="0" w:space="0" w:color="auto"/>
        <w:right w:val="none" w:sz="0" w:space="0" w:color="auto"/>
      </w:divBdr>
    </w:div>
    <w:div w:id="1540359254">
      <w:bodyDiv w:val="1"/>
      <w:marLeft w:val="0"/>
      <w:marRight w:val="0"/>
      <w:marTop w:val="0"/>
      <w:marBottom w:val="0"/>
      <w:divBdr>
        <w:top w:val="none" w:sz="0" w:space="0" w:color="auto"/>
        <w:left w:val="none" w:sz="0" w:space="0" w:color="auto"/>
        <w:bottom w:val="none" w:sz="0" w:space="0" w:color="auto"/>
        <w:right w:val="none" w:sz="0" w:space="0" w:color="auto"/>
      </w:divBdr>
    </w:div>
    <w:div w:id="1555892873">
      <w:bodyDiv w:val="1"/>
      <w:marLeft w:val="0"/>
      <w:marRight w:val="0"/>
      <w:marTop w:val="0"/>
      <w:marBottom w:val="0"/>
      <w:divBdr>
        <w:top w:val="none" w:sz="0" w:space="0" w:color="auto"/>
        <w:left w:val="none" w:sz="0" w:space="0" w:color="auto"/>
        <w:bottom w:val="none" w:sz="0" w:space="0" w:color="auto"/>
        <w:right w:val="none" w:sz="0" w:space="0" w:color="auto"/>
      </w:divBdr>
    </w:div>
    <w:div w:id="1643736012">
      <w:bodyDiv w:val="1"/>
      <w:marLeft w:val="0"/>
      <w:marRight w:val="0"/>
      <w:marTop w:val="0"/>
      <w:marBottom w:val="0"/>
      <w:divBdr>
        <w:top w:val="none" w:sz="0" w:space="0" w:color="auto"/>
        <w:left w:val="none" w:sz="0" w:space="0" w:color="auto"/>
        <w:bottom w:val="none" w:sz="0" w:space="0" w:color="auto"/>
        <w:right w:val="none" w:sz="0" w:space="0" w:color="auto"/>
      </w:divBdr>
    </w:div>
    <w:div w:id="1921406743">
      <w:bodyDiv w:val="1"/>
      <w:marLeft w:val="0"/>
      <w:marRight w:val="0"/>
      <w:marTop w:val="0"/>
      <w:marBottom w:val="0"/>
      <w:divBdr>
        <w:top w:val="none" w:sz="0" w:space="0" w:color="auto"/>
        <w:left w:val="none" w:sz="0" w:space="0" w:color="auto"/>
        <w:bottom w:val="none" w:sz="0" w:space="0" w:color="auto"/>
        <w:right w:val="none" w:sz="0" w:space="0" w:color="auto"/>
      </w:divBdr>
    </w:div>
    <w:div w:id="1926528303">
      <w:bodyDiv w:val="1"/>
      <w:marLeft w:val="0"/>
      <w:marRight w:val="0"/>
      <w:marTop w:val="0"/>
      <w:marBottom w:val="0"/>
      <w:divBdr>
        <w:top w:val="none" w:sz="0" w:space="0" w:color="auto"/>
        <w:left w:val="none" w:sz="0" w:space="0" w:color="auto"/>
        <w:bottom w:val="none" w:sz="0" w:space="0" w:color="auto"/>
        <w:right w:val="none" w:sz="0" w:space="0" w:color="auto"/>
      </w:divBdr>
    </w:div>
    <w:div w:id="2068872610">
      <w:bodyDiv w:val="1"/>
      <w:marLeft w:val="0"/>
      <w:marRight w:val="0"/>
      <w:marTop w:val="0"/>
      <w:marBottom w:val="0"/>
      <w:divBdr>
        <w:top w:val="none" w:sz="0" w:space="0" w:color="auto"/>
        <w:left w:val="none" w:sz="0" w:space="0" w:color="auto"/>
        <w:bottom w:val="none" w:sz="0" w:space="0" w:color="auto"/>
        <w:right w:val="none" w:sz="0" w:space="0" w:color="auto"/>
      </w:divBdr>
    </w:div>
    <w:div w:id="213767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7A1BBF-B2FA-40D4-87A3-6869625ED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4432</Words>
  <Characters>2527</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Nosūtāmais dokuments</vt:lpstr>
    </vt:vector>
  </TitlesOfParts>
  <Company>Finanšu ministrija</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Nosūtāmais dokuments</dc:title>
  <dc:subject>Par Ministru kabineta rīkojuma projektiem</dc:subject>
  <dc:creator>Federe G.</dc:creator>
  <dc:description>Sagatavots ALS E-aprites vidē.</dc:description>
  <cp:lastModifiedBy>Patriks Markēvičs</cp:lastModifiedBy>
  <cp:revision>2</cp:revision>
  <cp:lastPrinted>2007-06-25T10:49:00Z</cp:lastPrinted>
  <dcterms:created xsi:type="dcterms:W3CDTF">2021-07-26T07:59:00Z</dcterms:created>
  <dcterms:modified xsi:type="dcterms:W3CDTF">2021-07-26T07:59:00Z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