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26-TA-231: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2022. gada 4. oktobra noteikumos Nr. 619 "Eiropas Savienības Atveseļošanas un noturības mehānisma plāna 3.1.1.5.i investīcijas "Izglītības iestāžu infrastruktūras pilnveide un aprīkošana"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(30.01.2025.)</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12.02.2026. 14:01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Investīcijas mērķi sasniedz, īstenojot šo noteikumu </w:t>
            </w:r>
            <w:r w:rsidR="00000000" w:rsidRPr="00000000" w:rsidDel="00000000">
              <w:rPr>
                <w:rtl w:val="0"/>
              </w:rPr>
              <w:t xml:space="preserve">21.</w:t>
            </w:r>
            <w:r w:rsidR="00000000" w:rsidRPr="00000000" w:rsidDel="00000000">
              <w:rPr>
                <w:rtl w:val="0"/>
              </w:rPr>
              <w:t xml:space="preserve"> punktā</w:t>
            </w:r>
            <w:r w:rsidR="00000000" w:rsidRPr="00000000" w:rsidDel="00000000">
              <w:rPr>
                <w:rtl w:val="0"/>
              </w:rPr>
              <w:t xml:space="preserve"> minētās atbalstāmās darbības un sasniedzot šādu mērķa rādītāju – līdz 2026. gada 17. augustam pilnveidota un aprīkota infrastruktūra 21 pašvaldību dibinātā vispārējās izglītības iestādē.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precizēt Ministru kabineta 2022. gada 4. oktobra noteikumu Nr. 619 "Eiropas Savienības Atveseļošanas un noturības mehānisma plāna 3.1.1.5.i investīcijas "Izglītības iestāžu infrastruktūras pilnveide un aprīkošana" īstenošanas noteikumi" (turpmāk - noteikumi Nr. 619) 4.punktu, ņemot vērā apstiprinātos 106.mērķrādītāja nosaukuma un apraksta grozījumus Eiropas Padomes īstenošanas lēmumā par Latvijas Atveseļošanas un noturības plāna novērtējuma apstiprināšanu.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ar grozījumiem Eiropas Padomes īstenošanas lēmumā par Latvijas Atveseļošanas un noturības plāna novērtējuma apstiprināšanu, ir vienkāršots mērķa rādītāja Nr. 106 nosaukums - no “Izglītības iestāžu infrastruktūras pilnveide un aprīkošana” uz “Izglītības iestāžu infrastruktūra”.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Ministru kabineta noteikumos Nr. 619  nodrošinātu minētā mērķa rādītāja  izprotamību un uztveramību, Izglītības un zinātnes ministrija rosina saglabāt līdzšinēji Ministru kabineta noteikumos Nr. 619 doto rādītāja nosaukumu, tādējādi demonstrējot 3.1.1.5.i investīcijas projektu ietekmi uz izglītības iestāžu infrastruktūru.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Investīcijas mērķi sasniedz, īstenojot šo noteikumu </w:t>
            </w:r>
            <w:r w:rsidR="00000000" w:rsidRPr="00000000" w:rsidDel="00000000">
              <w:rPr>
                <w:rtl w:val="0"/>
              </w:rPr>
              <w:t xml:space="preserve">21.</w:t>
            </w:r>
            <w:r w:rsidR="00000000" w:rsidRPr="00000000" w:rsidDel="00000000">
              <w:rPr>
                <w:rtl w:val="0"/>
              </w:rPr>
              <w:t xml:space="preserve"> punktā</w:t>
            </w:r>
            <w:r w:rsidR="00000000" w:rsidRPr="00000000" w:rsidDel="00000000">
              <w:rPr>
                <w:rtl w:val="0"/>
              </w:rPr>
              <w:t xml:space="preserve"> minētās atbalstāmās darbības un sasniedzot šādu mērķa rādītāju – līdz 2026. gada 17. augustam pilnveidota un aprīkota infrastruktūra 21 pašvaldību dibinātā vispārējās izglītības iestādē.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 būvprojekta (tai skaitā būvprojekta minimālās stadijas), būvdarbu ieceres dokumentācijas, paskaidrojuma raksta izstrādes vai aktualizēšanas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izmaiņas normatīvajā regulējumā tiek piemērotas pēc attiecīgo grozījumu stāšanās spēkā, un tās ir uz nākotni vērstas, nevis ar atpakaļejošu spēku. Gadījumā, ja plānotās izmaiņas noteikumu Nr. 619 22.5. apakšpunktā par attiecināmo izmaksu tvēruma paplašināšanu piemērojamas ar atpakaļejošu spēku, lūdzam papildināt anotāciju ar informāciju un pamatojumu, no kura brīža attiecīgās izmaiņas piemērojamas.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izvērtēt un pēc nepieciešamības precizēt anotācijas 1.3. sadaļas apakšsadaļas "Risinājuma apraksts" pēdējo rindkopu gadījumā, ja vienošanās par investīcijas projektu īstenošanu būs veicami grozījumi arī saistībā ar plānotajām izmaiņām attiecināmo izmaksu tvērumā.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Līdztekus, ņemot vērā to, ka veicami grozījumi vienošanās par investīcijas projektu īstenošanu, lūdzam papildināt anotācijas 7.1. sadaļas apakšsadaļu "Institūcijas" ar norādi uz pašvaldībām.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anotācijas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 būvprojekta (tai skaitā būvprojekta minimālās stadijas), būvdarbu ieceres dokumentācijas, paskaidrojuma raksta izstrādes vai aktualizēšanas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 projekta iesniegšanas un atbalsta piešķiršanas brīdī uz projekta iesniedzēju nav attiecināms kāds no izslēgšanas kritērijiem, kas noteikti Eiropas Parlamenta un Padomes 2018. gada 18. jūlija Regulas (ES, Euratom)  </w:t>
            </w:r>
            <w:r w:rsidR="00000000" w:rsidRPr="00000000" w:rsidDel="00000000">
              <w:rPr>
                <w:rtl w:val="0"/>
              </w:rPr>
              <w:t xml:space="preserve">2018/1046</w:t>
            </w:r>
            <w:r w:rsidR="00000000" w:rsidRPr="00000000" w:rsidDel="00000000">
              <w:rPr>
                <w:rtl w:val="0"/>
              </w:rPr>
              <w:t xml:space="preserve"> par finanšu noteikumiem, ko piemēro Savienības vispārējam budžetam, ar kuru groza Regulas (ES) Nr.  </w:t>
            </w:r>
            <w:r w:rsidR="00000000" w:rsidRPr="00000000" w:rsidDel="00000000">
              <w:rPr>
                <w:rtl w:val="0"/>
              </w:rPr>
              <w:t xml:space="preserve">1296/2013</w:t>
            </w:r>
            <w:r w:rsidR="00000000" w:rsidRPr="00000000" w:rsidDel="00000000">
              <w:rPr>
                <w:rtl w:val="0"/>
              </w:rPr>
              <w:t xml:space="preserve">, (ES) Nr.  </w:t>
            </w:r>
            <w:r w:rsidR="00000000" w:rsidRPr="00000000" w:rsidDel="00000000">
              <w:rPr>
                <w:rtl w:val="0"/>
              </w:rPr>
              <w:t xml:space="preserve">1301/2013</w:t>
            </w:r>
            <w:r w:rsidR="00000000" w:rsidRPr="00000000" w:rsidDel="00000000">
              <w:rPr>
                <w:rtl w:val="0"/>
              </w:rPr>
              <w:t xml:space="preserve">, (ES) Nr.  </w:t>
            </w:r>
            <w:r w:rsidR="00000000" w:rsidRPr="00000000" w:rsidDel="00000000">
              <w:rPr>
                <w:rtl w:val="0"/>
              </w:rPr>
              <w:t xml:space="preserve">1303/2013</w:t>
            </w:r>
            <w:r w:rsidR="00000000" w:rsidRPr="00000000" w:rsidDel="00000000">
              <w:rPr>
                <w:rtl w:val="0"/>
              </w:rPr>
              <w:t xml:space="preserve">, (ES) Nr.  </w:t>
            </w:r>
            <w:r w:rsidR="00000000" w:rsidRPr="00000000" w:rsidDel="00000000">
              <w:rPr>
                <w:rtl w:val="0"/>
              </w:rPr>
              <w:t xml:space="preserve">1304/2013</w:t>
            </w:r>
            <w:r w:rsidR="00000000" w:rsidRPr="00000000" w:rsidDel="00000000">
              <w:rPr>
                <w:rtl w:val="0"/>
              </w:rPr>
              <w:t xml:space="preserve">, (ES) Nr.  </w:t>
            </w:r>
            <w:r w:rsidR="00000000" w:rsidRPr="00000000" w:rsidDel="00000000">
              <w:rPr>
                <w:rtl w:val="0"/>
              </w:rPr>
              <w:t xml:space="preserve">1309/2013</w:t>
            </w:r>
            <w:r w:rsidR="00000000" w:rsidRPr="00000000" w:rsidDel="00000000">
              <w:rPr>
                <w:rtl w:val="0"/>
              </w:rPr>
              <w:t xml:space="preserve">, (ES) Nr.  </w:t>
            </w:r>
            <w:r w:rsidR="00000000" w:rsidRPr="00000000" w:rsidDel="00000000">
              <w:rPr>
                <w:rtl w:val="0"/>
              </w:rPr>
              <w:t xml:space="preserve">1316/2013</w:t>
            </w:r>
            <w:r w:rsidR="00000000" w:rsidRPr="00000000" w:rsidDel="00000000">
              <w:rPr>
                <w:rtl w:val="0"/>
              </w:rPr>
              <w:t xml:space="preserve">, (ES) Nr.  </w:t>
            </w:r>
            <w:r w:rsidR="00000000" w:rsidRPr="00000000" w:rsidDel="00000000">
              <w:rPr>
                <w:rtl w:val="0"/>
              </w:rPr>
              <w:t xml:space="preserve">223/2014</w:t>
            </w:r>
            <w:r w:rsidR="00000000" w:rsidRPr="00000000" w:rsidDel="00000000">
              <w:rPr>
                <w:rtl w:val="0"/>
              </w:rPr>
              <w:t xml:space="preserve">, (ES) Nr.  </w:t>
            </w:r>
            <w:r w:rsidR="00000000" w:rsidRPr="00000000" w:rsidDel="00000000">
              <w:rPr>
                <w:rtl w:val="0"/>
              </w:rPr>
              <w:t xml:space="preserve">283/2014</w:t>
            </w:r>
            <w:r w:rsidR="00000000" w:rsidRPr="00000000" w:rsidDel="00000000">
              <w:rPr>
                <w:rtl w:val="0"/>
              </w:rPr>
              <w:t xml:space="preserve"> un Lēmumu Nr. 541/2014/ES un atceļ Regulu (ES, Euratom) Nr.  </w:t>
            </w:r>
            <w:r w:rsidR="00000000" w:rsidRPr="00000000" w:rsidDel="00000000">
              <w:rPr>
                <w:rtl w:val="0"/>
              </w:rPr>
              <w:t xml:space="preserve">966/2012</w:t>
            </w:r>
            <w:r w:rsidR="00000000" w:rsidRPr="00000000" w:rsidDel="00000000">
              <w:rPr>
                <w:rtl w:val="0"/>
              </w:rPr>
              <w:t xml:space="preserve">, 136. panta 1.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2024. gada 30. septembrī stājusies spēkā jaunā “Finanšu regula” – Eiropas Parlamenta un Padomes 2024. gada 23. septembra Regula (ES, Euratom) 2024/2509 par finanšu noteikumiem, ko piemēro Savienības vispārējam budžetam (pārstrādāta redakcija) (turpmāk - Regula 2024/2509), un saskaņā ar Regulas 2024/2509 279. pantu tā atceļ iepriekšējo “Finanšu regulu” – Eiropas Parlamenta un Padomes 2018. gada 18. jūlija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Regula 2018/1046).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aicinām precizēt noteikumu Nr. 619 26.1. apakšpunktā regulas atsauci, norādot atsauci uz Regulu 2024/2509.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Regulas 2024/2509 279. pantu atsauces uz atcelto Regulu 2018/1046 uzskata par atsaucēm uz Regulu 2024/2509, un tās lasa saskaņā ar atbilstības tabulu Regulas 2024/2509 II pielikumā. Vienlaikus lūdzam atbilstoši precizēt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Ministru kabineta noteikumu Nr. 619 26.1.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 projekta iesniegšanas un atbalsta piešķiršanas brīdī uz projekta iesniedzēju nav attiecināms kāds no izslēgšanas kritērijiem, kas noteikti Eiropas Parlamenta un Padomes 2024. gada 23. septembra Regulas (ES, Euratom) 2024/2509 par finanšu noteikumiem, ko piemēro Savienības vispārējam budžetam, 138. panta 1. punktā;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26-TA-231</w:t>
    </w:r>
    <w:r>
      <w:br/>
    </w:r>
    <w:r w:rsidR="00000000" w:rsidRPr="00000000" w:rsidDel="00000000">
      <w:rPr>
        <w:rtl w:val="0"/>
      </w:rPr>
      <w:t xml:space="preserve">16.03.2026. 23.10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26-TA-231</w:t>
    </w:r>
    <w:r>
      <w:br/>
    </w:r>
    <w:r w:rsidR="00000000" w:rsidRPr="00000000" w:rsidDel="00000000">
      <w:rPr>
        <w:rtl w:val="0"/>
      </w:rPr>
      <w:t xml:space="preserve">16.03.2026. 23.10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Izziņa_26-TA-231.docx</dc:title>
</cp:coreProperties>
</file>

<file path=docProps/custom.xml><?xml version="1.0" encoding="utf-8"?>
<Properties xmlns="http://schemas.openxmlformats.org/officeDocument/2006/custom-properties" xmlns:vt="http://schemas.openxmlformats.org/officeDocument/2006/docPropsVTypes"/>
</file>