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25-TA-2249: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05.02.2026. 14:18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ceturtās un piektās atlases kārtas mērķis ir mazināt vēsturiski radīto kaitējumu dabas resursiem vēsturiskajās kūdras ieguves vietās, revitalizējot purvu, mežu, ūdenstilpju ekosistēmas un atjaunojot to funkcionalitāti, mazinot siltumnīcefekta gāzu emisijas, kā arī stiprinot to spēju piesaistīt oglekļa dioksīdu. Piektās atlases kārtas papildu mērķis ir veikt vēsturisko kūdras ieguves vietu revitalizāciju, ierīkojot ilggadīgos stādījumus, tādējādi samazinot siltumnīcefekta gāzu emisijas un veicinot šo teritoriju izmantošanu un ekonomisko aktivitāti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ir iepazinusies ar skaidrojumu par termina "revitalizācija" izmantošanu, taču KEM atkārtoti uzsver, ka saskata riskus saistībā ar Ministru kabineta rīkojumā Nr. 696 (turpmāk - MK rīkojums Nr. 696) norādīto vēsturisko kūdras ieguves vietu atzīšanu par rekultivētām ārpus projekta ietvara, kas būtu svarīgi gan saistībā ar MK rīkojuma Nr. 696 izpildi, gan ar klimata mērķu sasniegšanu (CO2 emisiju samazināšana), izmantojot instrumentu - kūdras ieguves vietu rekultivācija.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uz vēsturiskajām kūdras ieguves vietām rekultivācijas jēdziens likuma “Par zemes dzīlēm” izpratnē nav pilnībā attiecināms, jo daudzos gadījumos kūdras ieguve veikta pirms minētā likuma spēkā stāšanās. Attiecīgi šādu teritoriju atjaunošana ar publisko finansējumu nevar tikt kvalificēta kā likumā noteiktā ieguvēja pienākuma izpilde vai rekultivācija, kā to paredz minētais likums vai MK 2012. gada 21. augusta noteikumi Nr. 570 “Derīgo izrakteņu ieguves kārtība” (turpmāk – MK noteikumi nr. 570).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gan MK noteikumi nr. 570, gan likuma “Par zemes dzīlēm” 14. panta astotā daļa nosaka ieguvēja pienākumu par saviem līdzekļiem rekultivēt zemes dzīļu izmantošanas rezultātā radīto kaitējumu licencē noteiktajā termiņā, kas liedz piešķirt publiskus līdzekļus rekultivācijas prasības izpildei. Savukārt MK rīkojumā Nr. 696 “Par Kūdras ilgtspējīgas izmantošanas pamatnostādnēm 2020.–2030. gadam” nav noteikti detalizēti normatīvie kritēriji vai procedūras vēsturisko kūdras ieguves vietu rekultivācijas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pasākuma ietvaros īstenotās revitalizācijas darbības tiks veiktas atbilstoši spēkā esošajam normatīvajam regulējumam, kas nosaka mežu ieaudzēšanu, ūdenstilpju izveidi, ilggadīgo stādījumu ierīkošanu un teritoriju mitrināšanu purvu atjaunošanas nolūkā. Tādējādi revitalizācijas veidu īstenošana ir tiesiski pamatota un pierādāma un to īstenošana nodrošina ne tikai aprēķināmu siltumnīcefekta gāzu emisiju samazinājumu salīdzinājumā ar degradētām teritorijām, bet arī degradētu teritoriju atjaunošanu jeb revitalizāciju un iespēju tajās īstenot saimniecisko darbību, tostarp sekmējot klimata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ceturtās un piektās atlases kārtas mērķis ir mazināt vēsturiski radīto kaitējumu dabas resursiem vēsturiskajās kūdras ieguves vietās, revitalizējot purvu, mežu, ūdenstilpju ekosistēmas un atjaunojot to funkcionalitāti, mazinot siltumnīcefekta gāzu emisijas, kā arī stiprinot to spēju piesaistīt oglekļa dioksīdu. Piektās atlases kārtas papildu mērķis ir veikt vēsturisko kūdras ieguves vietu revitalizāciju, ierīkojot ilggadīgos stādījumus, tādējādi samazinot siltumnīcefekta gāzu emisijas un veicinot šo teritoriju izmantošanu un ekonomisko aktivitāti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šādu teikumu, svītrojot pasvītroto daļu, kas norāda, ka Klimata un enerģētikas ministrija ir izstrādājusi emisiju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kvalitātes kritēriji veidoti atbilstoši </w:t>
            </w:r>
            <w:r w:rsidR="00000000" w:rsidRPr="00000000" w:rsidDel="00000000">
              <w:rPr>
                <w:i w:val="1"/>
                <w:rtl w:val="0"/>
              </w:rPr>
              <w:t xml:space="preserve"> </w:t>
            </w:r>
            <w:r w:rsidR="00000000" w:rsidRPr="00000000" w:rsidDel="00000000">
              <w:rPr>
                <w:b w:val="1"/>
                <w:i w:val="1"/>
                <w:u w:val="single"/>
                <w:rtl w:val="0"/>
              </w:rPr>
              <w:t xml:space="preserve">Klimata un enerģētikas ministrijas u</w:t>
            </w:r>
            <w:r w:rsidR="00000000" w:rsidRPr="00000000" w:rsidDel="00000000">
              <w:rPr>
                <w:b w:val="1"/>
                <w:i w:val="1"/>
                <w:rtl w:val="0"/>
              </w:rPr>
              <w:t xml:space="preserve">n</w:t>
            </w:r>
            <w:r w:rsidR="00000000" w:rsidRPr="00000000" w:rsidDel="00000000">
              <w:rPr>
                <w:rtl w:val="0"/>
              </w:rPr>
              <w:t xml:space="preserve"> Latvijas valsts mežzinātnes institūta "Silava" izstrādātajiem emisiju faktoriem SEG emisiju aprēķinu veikšanai, izvērtējot darbības, kas būtiskāk veicina emisiju samazināšanu atbilstoši aprēķinātajiem faktoriem un vienlaikus sniedz sociālekonomiskos un ekosistēmu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šos faktorus ir izstrādājusi Latvijas valsts mežzinātnes institūts "Silava", KEM nenodarbojas ar zinātnisko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kvalitātes kritēriji veidoti atbilstoši Latvijas valsts mežzinātnes institūta "Silava" izstrādātajiem emisiju faktoriem SEG emisiju aprēķinu veikšanai, izvērtējot darbības, kas būtiskāk veicina emisiju samazināšanu atbilstoši aprēķinātajiem faktoriem un vienlaikus sniedz sociālekonomiskos un ekosistēmu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 anotācija, skaidrojot, ka “Projektu iesniegumu vērtēšanas kvalitātes kritēriji ir izstrādāti, pamatojoties uz Klimata un enerģētikas ministrijas kā par nozari atbildīgās ministrijas VARAM iesniegtajiem siltumnīcefekta gāzu (SEG) emisiju faktoriem, ko aprēķinājis Latvijas Valsts mežzinātnes institūta “Silava”.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Attiecināmais finansējums noteikts, ņemot vērā, ka TPF finansējums piešķirams ar 85% TPF likmi. Tomēr, lai stimulētu mitrājiem raksturīgā hidroloģiskā režīma atjaunošanu, kas sniedz ieguldījumu Dabas atjaunošanas regulas prasību izpildē par organisko augšņu mitruma līmeņa atjaunošanu, kas līdz 2030. gadam jāveic </w:t>
            </w:r>
            <w:r w:rsidR="00000000" w:rsidRPr="00000000" w:rsidDel="00000000">
              <w:rPr>
                <w:b w:val="1"/>
                <w:i w:val="1"/>
                <w:rtl w:val="0"/>
              </w:rPr>
              <w:t xml:space="preserve">30%</w:t>
            </w:r>
            <w:r w:rsidR="00000000" w:rsidRPr="00000000" w:rsidDel="00000000">
              <w:rPr>
                <w:i w:val="1"/>
                <w:rtl w:val="0"/>
              </w:rPr>
              <w:t xml:space="preserve"> no šo augšņu izplatības, kā arī sniedz ieguldījumu SEG emisiju samazinājumā ZIZIMM sektorā un palīdz īstenot Nacionālā enerģētika un klimata plāna (turpmāk – NEKP)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gadā 30% mērķis ir atjaunošanai, bet mitruma līmeņa atjaunošanai ir 7,5%.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Attiecināmais finansējums noteikts, ņemot vērā, ka TPF finansējums piešķirams ar 85% TPF likmi. Tomēr, lai stimulētu mitrājiem raksturīgā hidroloģiskā režīma atjaunošanu, kas sniedz ieguldījumu Dabas atjaunošanas regulas prasību izpildē par organisko augšņu mitruma līmeņa atjaunošanu, kas līdz 2030. gadam jāveic 7,5% no šo augšņu izplatības, kā arī sniedz ieguldījumu SEG emisiju samazinājumā ZIZIMM sektorā un palīdz īstenot Nacionālā enerģētika un klimata plāna (turpmāk – NEKP)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labota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17.01.2026. 13:42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noteikumu projekts paredz vispārīgu ieņēmumu uzskaites mehānismu gadījumiem, kad projekta darbību rezultātā rodas ieņēmumi (piemēram, no koksnes vai šķeldas realizācijas), tomēr tajā nav paredzēti nosacījumi un risinājuma pieeja situācijai, ja projekta rezultātā rodas ieņēmumi no oglekļa kredītu ražošanas un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mērķos tieši ir ietverta siltumnīcefekta gāzu emisiju samazināšana un oglekļa dioksīda piesaistes veicināšana, oglekļa kredītu ražošana rekultivētās kūdrāju platībās ir objektīvi iespējams un loģisks šo projektu rezultāts, turklāt potenciāli īstenojams gan šobrīd piemērojamu starptautisko oglekļa kredītu standartu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īpaši uzsver, ka gadījumos, kad projekta īstenošanā piedalās privāts komersants, oglekļa kredītu ražošanas un realizācijas neregulēšana rada būtisku juridisko un finanšu risku, jo privātam komersantam oglekļa kredīti var kļūt par galveno projekta ekonomisko ieguvumu un tas tieši ietekmē komercdarbības atbalsta regulējuma piemērojamību, atbalsta intensitāti un projekta kvalifikāciju kā valsts atbalsta pasākumu. Ja šādi ieņēmumi netiek skaidri reglamentēti, pastāv augsts risks neatļautam vai nepareizi piemērotam valsts atbalstam, kā arī iespējamu finanšu korekciju riskam ES fondu uzraudzības un audita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atzīst, ka no programmas administrēšanas viedokļa VARAM būtu vienkāršāk un ātrāk oglekļa kredītu jautājumu noteikumos vispār neiekļaut, jo tas saistīts ar sarežģītu sertifikācijas, uzskaites, īpašumtiesību un finanšu plūsmas regulējumu. Tomēr šāda pieeja rada būtisku tiesiskās nenoteiktības risku, jo oglekļa piesaistei piemīt skaidra ekonomiskā vērtība, bet tās iespējamā monetizācija šobrīd nav ne aizliegta, ne reglamentēta.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situācija, kurā oglekļa kredītu jautājums paliek “pelēkajā zonā”, ir nelabvēlīgākā no tiesiskās noteiktības, publiskā finansējuma caurskatāmības un valsts atbalsta riska vadības viedokļa. Tādēļ nepieciešams izvēlēties vienu no skaidriem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tieši noteikt, ka projekta ietvaros radītie oglekļa piesaistes rezultāti projekta dzīves ciklā nav izmantojami oglekļa kredītu ražošanai un realizācijai vai arī paredzēt, ka ieņēmumi no oglekļa kredītu ražošanas un realizācijas ir uzskatāmi par projekta ieņēmumiem šo noteikumu 19. punkta izpratnē, nosakot, ka tie ietekmē Taisnīgas pārkārtošanās fonda līdzfinansējuma apmēru un ka šāda darbība kvalificējas kā saimnieciskā darbība ar attiecīgu komercdarbības atbalsta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skaidrs regulējums novērstu neatļautu valsts atbalsta risku un nodrošinātu publiskā finansējuma caurskatāmību.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Ministru kabineta (turpmāk – MK) noteikumu projekta 19. punkts, skaidrojot, ka ar projekta darbībām ir saprotamas tādas darbības, kas tiek īstenotas projekta laikā pirms projekta darbību pabeigšanas, lai sasniegtu projekta mērķi. Ar to saprotama projektu darbību īstenošana ar mērķi atjaunot teritoriju, piemēram, zemes sagatavošanas darbi – aršana, līdzināšana, meliorācijas sistēmu un ūdens līmeņa regulēšana, dambēšana, grāvju aizbēršana, liekās veģetācijas novākšana u. c., kuru rezultātā var rasties materiālas vērtības (piemēram koksne, šķelda, u.c.). Minētās darbības tiek veiktas līdz brīdim, kad teritorijas atjaunošana ir pabeigta un teritorija var tikt tiek novērtēta kā renaturalizēta teritorija, izveidota ūdenstilpe, mežs vai ilggadīgie stādījumi (t. sk. ogulāji). Tādēļ, atbilstoši saņemtajam iebildumam, oglekļa kredītus objektīvi iespējams īstenot pēc projekta darbību pabeigšanas – respektīvi pēc purva, meža, ūdenstilpes atjaunošanas, nevis pašas zemes sagatavošanas laikā,  tādēļ uz projekta īstenošanas laikā īstenotajām darbībām nav attiecināmi oglekļa sertifikācijas rezultātā gūtie ieņēmumi, jo tie attiecināmi tikai pēc projekta darbību pabeigšanas un teritoriju atjaunošanas.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Latvijas Pašvaldību savienības (LPS) izteikto iebildumu, kurā norādīts, ka oglekļa kredīti ir objektīvs un loģisks šo projektu rezultāts, kas notiek pēc teritorijas sagatavošanas un projekta pabeigšanas, nevis projekta īstenošanas laikā - MK noteikumu 19. punkts papildināts norādot, ka viens no ienākumu gūšanas veidiem pēc projekta darbību pabeigšanas var būt no oglekļa kredītu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arī anotācijas 1.3. sadaļa “Pašreizējā situācija, problēmas un risinājumi”, precizējot apakšsadaļu “Revitalizācijas veidu atbalsta nosacījumi un komercdarbības atbalsta piemērojamība”.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projekta darbības atbilstoši MK noteikumu projekta 23. punkta nosacījumiem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ieaudzēšana tā agrotehniskā kopšana un ar to saistītā meliorācija vai arī ūdens līmeņa regulācija (23.2. un 23.3. apakšpunkti),  – tiek piemērots komercdarbības regulējums – de minimis atbilstoši MK noteikumu projekta V. nodaļas 30.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ilggadīgo stādījumu ierīkošana (24.1. apakšpunkts) - tiek piemērots komercdarbības regulējums ( 58.1.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ūdenstilpju izveide un renaturalizācija (MK noteikumu projekta 23.1. un 23.4. apakšpunkti) – kas var tikt īstenota ar komercdarbības atbalstu (noteikumu projekta IV nodaļas 33. punkts) vai bez komercdarbības atbalsta (MK noteikumu projekts 27.punkts) – šī izvēle par to, vai īstenot ūdenstilpju izveidi un renaturalizāciju ar vai bez komercdarbības atbalsta ir jānorāda sniedzot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 tiek paredzēts, lai neierobežotu iespējas projekta īstenotājam gūt ieņēmumus (tostarp oglekļa kredītu) projekta īstenošanas teritorijā atbilstoši  Līguma par Eiropas Savienības darbību 107. un 108.pantā (turpmāk – Līgums)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no iepriekš sacītā: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projektam tiek piemērots komercdarbības atbalsts, netiek noteikti ierobežojumi ieņēmumu gūšanas apjomam ne projekta darbību īstenošanas laikā, ne projekta dzīves ciklā pēc tā pabeigšanas, tostarp attiecībā uz ieņēmumiem no oglekļa kredītu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projektam netiek piemērots komercdarbības atbalsts un projekta iesniedzējs sniedz apliecinājumu, ka projekta īstenošanas teritorijā netiks veikta saimnieciskā darbība, piemērojami sekojoši nosacījumi atbilstoši Eiropas Komisijas praksei un paziņojumam par valsts atbalsta jēdzienu: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darbību īstenošanas laikā (piemēram, zemes uzaršana, meliorācijas grāvju tīrīšana, dambju izbūve, liekās veģetācijas novākšana u. c.) ir pieļaujama ieņēmumu gūšana, paredzot, ka par gūto ieņēmumu apmēru tiek attiecīgi samazināts ES fondu finansējuma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projekta dzīves ciklā pēc projekta darbību pabeigšanas, atjaunoto teritoriju un izveidotās infrastruktūras pieņemšanas ekspluatācijā ir pieļaujama ieņēmumu gūšana līdz 50 % apmērā no teritoriju un infrastruktūras uzturēšanas izmaksām; šādu ieņēmumu veids var būt arī oglekļa kredīti, ievērojot minēto 50 % ierobežojumu visā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 2. punkta b) apakšpunktā noteiktais nosacījums nav izpildāms, piemēram, ja sertifikācijas process ir uzsākts jau pirms projekta iesniegšanas vai ir objektīvi paredzams, ka projekta rezultātā gūtie ieņēmumi pārsniegs 50 % robežu, projekta iesniedzējam uzreiz jāpiemēro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nosakot komercdarbības atbalsta piemērošanu vai ieņēmumu gūšanas ierobežojumu procentuālā izteiksmē, nav nepieciešams uzskaitīt visus iespējamos ieņēmumu gūšanas veidus vai saimnieciskās darbības virzienus, jo tie netiek ierobežoti pēc būtības. Arī MK noteikumu projekta 19. punktā ir izmantota norāde “piemēram, koksne un šķelda” un “piemēram ieņēmumi no oglekļa kredītiem”, kas pēc savas būtības ir ilustratīva un pieļauj arī citus ieņēmumu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MK noteikumu projekta mērķis ir vēsturisko kūdras ieguves vietu revitalizācija saskaņā ar spēkā esošo normatīvo regulējumu, un tas nav paredzēts oglekļa tirgus vai ar to saistīto jautājumu regulēšanai; līdz ar to šādu jautājumu sīkāka aprakstīšana būtu pretrunā normatīvā akta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rezultāta rādītāja vērtību sasniegšanu apliecina finansējuma saņēmējs un sadarbības partneris (ja attiecināms), veicot emisiju aprēķinu atbilstoši atbildīgās iestādes metodiskajiem norādījumiem par aplēstajām siltumnīcefekta gāzu emisijām vai atbilstoši Ministru kabineta 2024.gada 9.jūlija noteikumu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w:t>
            </w:r>
            <w:r w:rsidR="00000000" w:rsidRPr="00000000" w:rsidDel="00000000">
              <w:rPr>
                <w:rtl w:val="0"/>
              </w:rPr>
              <w:t xml:space="preserve">20.5.2. apakšpunkta</w:t>
            </w:r>
            <w:r w:rsidR="00000000" w:rsidRPr="00000000" w:rsidDel="00000000">
              <w:rPr>
                <w:rtl w:val="0"/>
              </w:rPr>
              <w:t xml:space="preserve"> ietvaros izstrādātajā revitalizācijas dokumentā (turpmāk - revitalizācijas stratēģija) norādītajam aprēķinam.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projektā ietvertās atsauces uz atbildīgās iestādes metodiskajiem norādījumiem, Eiropas Savienības fondu 2021. – 2027. gada un Atveseļošanās fonda komunikācijas un dizaina vadlīnijām u.tml. dokumentiem, ņemot vērā, ka, atbilstoši Ministru kabineta 2009. gada 3. februāra noteikumu Nr. 108 "Normatīvo aktu projektu sagatavošanas noteikumi" 131. punktam, noteikumu projektā ietver atsauces uz citām projekta normām vai tāda paša vai augstāka juridiskā spēka normatīvajiem aktiem. Vēršam uzmanību, ka vadlīnijas, metodikas, rokasgrāmatas u.tml. dokumenti nav juridiski saistoši privātpersonām, bet gan valsts pārvaldei. Ievērojot, ka projekta iesniedzējs var būt arī privātpersona, kurai minētie dokumenti nav saistoši, noteikumu projektā nevar uzlikt par pienākumu tiem ievērot dokumentus, kas tai nav juridiski saistoši.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vadlīniju, metodiku nepieciešamo saturu, ciktāl tas attiecināms uz privātpersonām, pārņemt noteikumu projekta tekstā vai ietvert līgumā par projekta īstenošanu. Alternatīvi lūdzam sniegt pamatotu skaidrojumu par šādu atsauču 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saņemtajam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Dzēsta atsauce MK noteikumu 7. punktā uz “atbildīgās iestādes metodiskie norādījumi” un MK noteikumu projekta 19. punktā “sadarbības iestādes metodiskajiem norādījumiem”. Vienlaikus norādām, ka MK noteikumu projekta 7. un 19. punktā minēto atbildīgās iestādes izstrādāto metodisko norādījumu ievērošanas pienākums tiks iekļauts līgumā vai vienošanās par projekta īstenošanu, taču, lai nodrošinātu viennozīmīgu skaidrību finansējuma saņēmējam par plānotajām prasībām projekta iesnieguma sagatavošanai, MK noteikumu projekta anotācijā saglabātas atsauces uz metodiskajiem norādījumiem kā daļu no projekta īstenošanas līguma vai vienošanās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ES fondu 2021.—2027. gada plānošanas perioda vadības likuma 11. panta trešās daļas 9. punktā ietvertajam pienākumam atbildīgajai iestādei, kas 6.1.1.1 pasākuma ceturtās un piektās atlases kārtā ir VARAM, gadījumā, ja projekta kopējās izmaksas nepārsniedz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2. punktā noteikto izmaksu apjomu, noteikta prasība izstrādāt vienkāršoto izmaksu metodiku. Vienlaikus vēršam uzmanību, ka administratīvā sloga mazināšanas nolūkos, vienkāršoto izmaksu piemērošana ir rekomendējama arī gadījumos, kad tā nav obligāti piemērojama. Ņemot vērā, ka vienkāršoto izmaksu metodika tiek izstrādāta ar mērķi vienkāršot ES fondu projektu faktisko izmaksu uzskaiti un kontroli, un tas, kā tiek piemērotas izmaksas, ir tieši attiecināms uz finansējuma saņēmēju, finansējuma saņēmējam nepieciešams ievērot minēto metodiku. Vienlaikus arī šis pienākums tiks atrunāts līgumā vai vienošanās par projekta īstenošanu. Tādēļ MK noteikumu projekta 23. punktā un citos saistītajos punktus, kur izmantots 23. punktā norādītais metodikas saīsinājums, saglabāta atsauce uz metodiku, jo tā sniedz būtisku informāciju projektu iesniedzējam un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Līdzvērtīga  vienkāršoti izmaksu metodikas atsauce ir ietverta vairākos MK noteikumos, kā piemēram MK 2023.gada 4. aprīļa noteikumi Nr. 169, 13.punktā., MK 2024.gada 26. maija noteikumi Nr. 197. 14.1. apakšpunkts, MK 2024.gada 19.jūlija noteikumi Nr. 483, 25.4.1. apakšpunkts, MK 2025.gada 7.februāra noteikumi Nr. 82, 39. punkts, u.c. tādēļ arī šajā MK noteikumu projektā atsauce saglabājama, lai nodrošinātu tiesisko skaidrību finansējuma saņēmējiem. Ar skaidrojumu par metodikas piemērošanu finansējuma saņēmējiem un tās iekļaušanu līgumā vai vienošanās par projekta īstenošanu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MK noteikumu projekta 73.1.1., 73.1.2. un 73.1.3. apakšpunktiem - tiek svītrota atsauce uz ES fondu 2021.–2027. gada un Atveseļošanās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rezultāta rādītāja vērtību sasniegšanu apliecina finansējuma saņēmējs un sadarbības partneris (ja attiecināms), veicot aplēsto siltumnīcefekta gāzu emisiju aprēķinu vai norādot tās atbilstoši Ministru kabineta 2024.gada 9.jūlija noteikumu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w:t>
            </w:r>
            <w:r w:rsidR="00000000" w:rsidRPr="00000000" w:rsidDel="00000000">
              <w:rPr>
                <w:rtl w:val="0"/>
              </w:rPr>
              <w:t xml:space="preserve">20.5.2. apakšpunkta</w:t>
            </w:r>
            <w:r w:rsidR="00000000" w:rsidRPr="00000000" w:rsidDel="00000000">
              <w:rPr>
                <w:rtl w:val="0"/>
              </w:rPr>
              <w:t xml:space="preserve"> ietvaros izstrādātajā revitalizācijas dokumentā (turpmāk - revitalizācijas stratēģija) aprēķinātajām.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komersants šo noteikumu izpratnē atbilst regulas Nr. 651/2014 I pielikumam, lielais komersants šo noteikumu izpratnē ir komersants, kas neatbilst regulas Nr. 651/2014 I pielikumā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Lūdzam ievērot minēto, piemēram, noteikumu projekta 36. punktā, kur lūdzam tiešā veidā atsaukties uz attiecīgās regulas 2. panta 2. un 24. punktu, kā arī 73.1.3. apakšpunktā (sk. Eiropas Parlamenta un Padomes 2021.gada 24. jūnija Regulas (ES) Nr. 2021/1060, ar ko paredz kopīgus noteikumus par Eiropas Reģionālās attīstības fondu, Eiropas Sociālo fondu Plus, Kohēzijas fondu, TPF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50. panta 1.  punkta apakšvienības).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komersants šo noteikumu izpratnē ir komersants saskaņā ar regulas Nr.  651/2014 2. panta 2. punktu, lielais komersants šo noteikumu izpratnē ir komersants saskaņā ar regulas Nr.  651/2014 2. panta 24.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skaidrojam, ka atbilstoši Līguma par Eiropas Savienības darbību (turpmāk - Darbības līgums) 107. panta 1. punktam ar iekšējo tirgu nav saderīgs nekāds atbalsts, ko piešķir dalībvalstis vai ko jebkādā citā veidā piešķir no valsts līdzekļiem un kas rada vai draud radīt konkurences izkropļojumus. Savukārt Darbības līguma 107. panta 2. punkts nosaka darbības un tiesību subjektus, kuriem valsts atbalsts (komercdarbības atbalsts) ir saderīgs ar iekšējo tirgu. Bet Darbības līguma 109. pants paredz, ka Eiropas Padome var pieņemt jebkādas attiecīgas regulas, kas vajadzīgas, lai piemērotu 107. un 108. pantu, un jo īpaši var noteikt 108. panta 3. punkta piemērošanas nosacījumus un tās atbalsta kategorijas, uz ko šī procedūra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ja konkrētā dalībvalsts izlemj, ka valsts (komercdarbības) atbalsts netiks piešķirts ierobežotu finanšu līdzekļu dēļ, tā konkrēto regulu savā dalībvalsts teritorijā nepiemēros. Tādējādi valsts (komercdarbības) atbalsta regulas neuzliek pienākumu dalībvalstīm tās piemērot. Regulu/as dalībvalsts sāk piemērot tikai tādā gadījumā, ja tiek izlemts sniegt valsts (komercdarbības) atbalstu un tiek uzsākta atbalsta programmas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Jebkurai atbalsta programmai ir savi sasniedzamie mērķi un rādītāji, ievērojot pieejamo finansējumu. Līdz ar to no atbilstošās regulas atbalsta programmā tiek iekļauti vispārējie nosacījumi, lai konkrēto valsts (komercdarbības) atbalstu vispār būtu iespējams sniegt. Tālāk tiek izvērtētas iespējas konkrēto atbalsta likmju un palielināto atbalsta likmju piemērošanai, vienlaikus ievērojot publisko resursu (komercdarbības atbalsta) pamatnosacījumu – ar minimālo atbalstu panākt vajadzīgo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valsts (komercdarbības) atbalsta piešķiršanas gadījumā konkrētajā atbalsta programmā var netikt iekļautas pilnīgi visas normas, jo 1) regula/as par valsts (komercdarbības) atbalstu neliek dalībvalstīm pienākumu sniegt valsts (komercdarbības) atbalstu, tātad dalībvalsts šādu regulu/as var vispār nepiemērot. Latvijā tāds precedents jau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izstrādājot atbalsta programmas, tajās tiek iekļauta atsauce uz konkrētās regulas atbilstošo normu un norādīta koncentrēta tās būtība. Norma netiek “pārrakstīta” no regulas atbalsta programmā. Tiek sniegta atsauce uz regulu un konkrēto regulas sadaļu, no kuras atbalsta programmas lietotājs un potenciālais projekta iesniedzējs var saņemt konkrētu/detalizētu  informāciju par nepieciešamajām prasībām un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piedāvāto MK noteikumu projekta 36. punkta redakciju norādām, ka regulas Nr. 651/2014 mazā un vidējā komersanta kritēriji ir ietverti tieši Regulas I pielikumā, savukārt regulas Nr. 651/2014 2. panta 2. un 24. punkti satur tikai atsauci uz minēto pielikumu. Līdz ar to piedāvātā redakcija, kas tieši atsaucas uz regulas Nr. 651/2014 I pielikumu, precīzāk atspoguļo minētajā regulā noteikto strukturālo risinājumu un nodrošina skaidrāku piemērošanu, jo MK noteikumu projekta </w:t>
            </w:r>
            <w:r w:rsidR="00000000" w:rsidRPr="00000000" w:rsidDel="00000000">
              <w:rPr>
                <w:b w:val="1"/>
                <w:rtl w:val="0"/>
              </w:rPr>
              <w:t xml:space="preserve">36. punkta</w:t>
            </w:r>
            <w:r w:rsidR="00000000" w:rsidRPr="00000000" w:rsidDel="00000000">
              <w:rPr>
                <w:rtl w:val="0"/>
              </w:rPr>
              <w:t xml:space="preserve"> norma pēc būtības satur atsauci uz attiecīgo regulas prasību, nevis to pārraksta.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līdzvērtīgs  mazā, vidējā un lielā uzņēmuma skaidrojuma MK noteikumu punkts ir ietverts vairākos MK noteikumos, kā piemēram MK 2023.gada 17.oktobra noteikumi Nr. 593., MK 2025.gada 18.februāra noteikumi Nr. 107., MK 2024.gada 26.marta noteikumi Nr. 198., tostarp arī  - MK 2014.gada 16.decembra noteikumi Nr. 776, kas izdoti saskaņā ar Komercdarbības atbalsta kontroles likumu. Tādējādi, ņemot vērā iepriekš minēto valsts atbalsta regulu piemērošanas mehānismu, kā arī, ņemot vērā līdz šim MK noteikumos iekļautās punktu redakcijas attiecībā uz vidējo un lielo komersantu definēšanu, lai nodrošinātu tiesisko skaidrību finansējuma saņēmējiem, MK noteikumu projekta 36. punkta redakcija saglabāta nemainīga.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norādām, ka lielā komersanta jēdziens regulā Nr. 651/2014 nav definēts patstāvīgi, bet tiek noteikts pastarpināti — kā komersants, kas neatbilst I pielikumā noteiktajiem mazā un vidējā komersanta kritērijiem. Attiecīgi noteikumu projektā ietvertais formulējums korekti atspoguļo regulas piemērošanas loģiku.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labots MK noteikumu projekta </w:t>
            </w:r>
            <w:r w:rsidR="00000000" w:rsidRPr="00000000" w:rsidDel="00000000">
              <w:rPr>
                <w:b w:val="1"/>
                <w:rtl w:val="0"/>
              </w:rPr>
              <w:t xml:space="preserve">73.1.3. punkts</w:t>
            </w:r>
            <w:r w:rsidR="00000000" w:rsidRPr="00000000" w:rsidDel="00000000">
              <w:rPr>
                <w:rtl w:val="0"/>
              </w:rPr>
              <w:t xml:space="preserve">, jo attiecībā uz atsauci uz regulas Nr. 2021/1060 50. pantu noteikumu projekta 73.1.1. apakšpunktā norādām, ka minētais regulas pants nosaka vienotu un kumulatīvu komunikācijas un redzamības pienākumu kopumu, kura apakšvienības nav patstāvīgi piemērojamas normas. Līdz ar to atsauce uz pantu kopumā nodrošina visu tajā ietverto prasību tiešu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komersants šo noteikumu izpratnē atbilst regulas Nr. 651/2014 I pielikumam, lielais komersants šo noteikumu izpratnē ir komersants, kas neatbilst regulas Nr. 651/2014 I pielikumā noteiktajiem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anotācijas 5. sadaļu (aizpildīšanā iesakām ievērot "Vadlīnijas tiesību akta projekta sākotnējās ietekmes novērtēšanai un novērtējuma ziņojuma sagatavošanai Vienotajā tiesību aktu izstrādes un saskaņošanas portālā").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skaidrojumiem anotācijas 1.3. apakšsadaļā projekts izpilda arī no Eiropas Komisijas 2025. gada 15. decembra lēmuma C(2025) 8685, ar kuru groza Īstenošanas lēmumu C(2022) 8712 par programmas “Eiropas Savienības kohēzijas politikas programma 2021.–2027. gadam” apstiprināšanu Eiropas Reģionālās attīstības fonda, Kohēzijas fonda, Eiropas Sociālā fonda Plus un Taisnīgas pārkārtošanās fonda atbalsta piešķiršanai saskaņā ar mērķi “Investīcijas nodarbinātībai un izaugsmei” Latvijā (Nr. CCI 2021LV16FFPR001) izrietošo, tādēļ nepieciešams attiecīgi papildināt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2022. gada 14. decembra Regulas (ES) 2022/2472, ar kuru, piemērojot Līguma par Eiropas Savienības darbību 107. un 108. pantu, dažu kategoriju atbalstu lauksaimniecības un mežsaimniecības nozarē un lauku apvidos atzīst par saderīgu ar iekšējo tirgu daļa, 14. panta 7. punkts ieviests noteikumu projekta 63.7. apakšpunktā, 14. punkta 9. punkts -  projekta 63.8. apakšpunktā, 14. punkta 10. punkts - projekta 63.9. apakšpunktā, bet 63.10. apakšpunkta vispār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jāizvērtē visas no ieviestajām Eiropas Savienības tiesību normām izrietošās rīcības brīvības un jāskaidro:  "</w:t>
            </w:r>
            <w:r w:rsidR="00000000" w:rsidRPr="00000000" w:rsidDel="00000000">
              <w:rPr>
                <w:u w:val="single"/>
                <w:rtl w:val="0"/>
              </w:rPr>
              <w:t xml:space="preserve">Kā ir izmantota ES tiesību aktā paredzētā rīcības brīvība dalībvalstij pārņemt vai ieviest noteiktas ES tiesību akta normas? Kādēļ</w:t>
            </w:r>
            <w:r w:rsidR="00000000" w:rsidRPr="00000000" w:rsidDel="00000000">
              <w:rPr>
                <w:rtl w:val="0"/>
              </w:rPr>
              <w:t xml:space="preserve">?". Piemēram, Regulas 2021/1060 50. panta 1. punkta 3. daļa paredz, ka: "Atkāpjoties no pirmās daļas c) un d) apakšpunkta, [..], var noteikt īpašas prasības [..]." vai Eiropas Komisijas 2014. gada 17. jūnija Regulas (ES) Nr. 651/2014, ar ko noteiktas atbalsta kategorijas atzīst par saderīgām ar iekšējo tirgu, piemērojot Līguma 107. un 108. pantu 45. panta 10. punkts paredz "</w:t>
            </w:r>
            <w:r w:rsidR="00000000" w:rsidRPr="00000000" w:rsidDel="00000000">
              <w:rPr>
                <w:i w:val="1"/>
                <w:rtl w:val="0"/>
              </w:rPr>
              <w:t xml:space="preserve">Atbalsta intensitāti ieguldījumiem bioloģiskās daudzveidības aizsardzībā vai atjaunošanā un dabā balstīto risinājumu īstenošanā nolūkā panākt klimatadaptāciju un klimata pārmaiņu mazināšanu </w:t>
            </w:r>
            <w:r w:rsidR="00000000" w:rsidRPr="00000000" w:rsidDel="00000000">
              <w:rPr>
                <w:i w:val="1"/>
                <w:u w:val="single"/>
                <w:rtl w:val="0"/>
              </w:rPr>
              <w:t xml:space="preserve">var palielināt par 20 procentpunktiem</w:t>
            </w:r>
            <w:r w:rsidR="00000000" w:rsidRPr="00000000" w:rsidDel="00000000">
              <w:rPr>
                <w:i w:val="1"/>
                <w:rtl w:val="0"/>
              </w:rPr>
              <w:t xml:space="preserve"> atbalstam, ko piešķir maziem uzņēmumiem, </w:t>
            </w:r>
            <w:r w:rsidR="00000000" w:rsidRPr="00000000" w:rsidDel="00000000">
              <w:rPr>
                <w:i w:val="1"/>
                <w:u w:val="single"/>
                <w:rtl w:val="0"/>
              </w:rPr>
              <w:t xml:space="preserve">un par 10 procentpunktiem</w:t>
            </w:r>
            <w:r w:rsidR="00000000" w:rsidRPr="00000000" w:rsidDel="00000000">
              <w:rPr>
                <w:i w:val="1"/>
                <w:rtl w:val="0"/>
              </w:rPr>
              <w:t xml:space="preserve"> atbalstam, ko piešķir vidējiem uzņēmumiem.</w:t>
            </w:r>
            <w:r w:rsidR="00000000" w:rsidRPr="00000000" w:rsidDel="00000000">
              <w:rPr>
                <w:rtl w:val="0"/>
              </w:rPr>
              <w:t xml:space="preserve">", bet 9. panta 1. punkts "</w:t>
            </w:r>
            <w:r w:rsidR="00000000" w:rsidRPr="00000000" w:rsidDel="00000000">
              <w:rPr>
                <w:i w:val="1"/>
                <w:rtl w:val="0"/>
              </w:rPr>
              <w:t xml:space="preserve">Alternatīvi – iesaistītās dalībvalstis </w:t>
            </w:r>
            <w:r w:rsidR="00000000" w:rsidRPr="00000000" w:rsidDel="00000000">
              <w:rPr>
                <w:i w:val="1"/>
                <w:u w:val="single"/>
                <w:rtl w:val="0"/>
              </w:rPr>
              <w:t xml:space="preserve">var nolemt,</w:t>
            </w:r>
            <w:r w:rsidR="00000000" w:rsidRPr="00000000" w:rsidDel="00000000">
              <w:rPr>
                <w:i w:val="1"/>
                <w:rtl w:val="0"/>
              </w:rPr>
              <w:t xml:space="preserve"> ka katra no tām informāciju par savā teritorijā īstenojamajiem atbalsta pasākumiem sniedz savā attiecīgajā tīmekļa vietnē</w:t>
            </w:r>
            <w:r w:rsidR="00000000" w:rsidRPr="00000000" w:rsidDel="00000000">
              <w:rPr>
                <w:rtl w:val="0"/>
              </w:rPr>
              <w:t xml:space="preserv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anotācijas 5. sadaļas 5.3. apakšsadaļa, sniedzot informāciju, ka saskaņā ar Eiropas Komisijas 2025. gada 15. decembra lēmumu C(2025) 8685, ar kuru groza Īstenošanas lēmumu C(2022) 8712 par programmas “Eiropas Savienības kohēzijas politikas programma 2021.–2027. gadam” apstiprināšanu Eiropas Reģionālās attīstības fonda, Kohēzijas fonda, Eiropas Sociālā fonda Plus un Taisnīgas pārkārtošanās fonda atbalsta piešķiršanai saskaņā ar mērķi “Investīcijas nodarbinātībai un izaugsmei” Latvijā (Nr. CCI 2021LV16FFPR001), ir apstiprināti grozījumi Eiropas Savienības kohēzijas politikas programmā 2021.–2027. gadam. Minētie grozījumi paredz iespēju īstenot pasākumu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Veikti labojumi anotācijas 5. sadaļā atbilstoši iebildumā uzskaitītajam – regulas 2022/2472 14. panta 7. punkts ieviests MK noteikumu projekta 63.7. apakšpunktā, regulas nr. 2022/2472 14. panta 8. punkts ieviests MK noteikumu projekta 63.8. apakšpunktā, bet minētās regulas 14. panta 10. punkts ieviests MK noteikumu projekta 63.9.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iebilduma piemērā minētās regulas Nr. 2021/1060 50. panta prasības ir tieši piemērojamas un šajā gadījumā nav izvēles brīvības tās piemērošanai, tas tieši noprotams arī iebildumā minētajā piemērā, kur regulas 2021/1060 50. panta 1. punkta 3. daļa nosaka prasības, kas </w:t>
            </w:r>
            <w:r w:rsidR="00000000" w:rsidRPr="00000000" w:rsidDel="00000000">
              <w:rPr>
                <w:u w:val="single"/>
                <w:rtl w:val="0"/>
              </w:rPr>
              <w:t xml:space="preserve">nav tieši attiecināmas uz Taisnīgas pārkārtošanās fonda finansētiem pasākumiem, tādēļ šo regulas pantu piemērojamībai dalībvalstij nav izvēles brīvības, bet ir jāievēro regulā noteiktie nosacījumi. Atbilstoši papildināta anotācijas 5. sadaļa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regulu nr. 651/2014, regulu  nr. 2022/2472 un regulu nr. 2023/2831. Komercdarbības atbalsta piešķiršana nav obligāti noteikta dalībvalstīm, bet ja tās izvēlas to sniegt, tad tikai piemērojot konkrētās regulas, kuras nosaka Darbības līguma 107. un 108. panta izņēmumus, tādēļ: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atsaucoties uz iebildumā minētās regulas nr. 651/2014 9. panta 1. punkta piemērošanu norādām, ka 9. panta 1. punkts ir attiecināms uz atbalstu ko piešķir ar regulas 651/2014 20. pantu, tādēļ nesniedz rīcības brīvību dalībvalstij atbalstu piešķirot ar regulas nr. 651/2014 45. pantu, kā tas ir noteikts MK noteikumu projektā. Atbilstoši iebildumam papildināta anotācijas 5. sadaļa ietverot tajā skaidrojumu arī par atbalsta intensitātes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 nr. 2023/2831 nenosaka rīcības brīvību dalībvalstij izvēlēties tās atšķirīgu normu ieviešanu nacionālajā regulējumā, bet sniedz iespēju sniegt komercdarbības atbalstu. Papildināta anotācijas 5. sadaļa skaidrojot dalībvalsts rīcības brīvību mežsaimniecības un ar to saistīto darbību īstenošanai izvēloties regulu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regulau nr. 2022/2472, anotācijas 5. nodaļas skaidrojums pārskatīts, bet pēc būtības nemainīts, lai skaidrotu kādēļ izvēlēts minētas regulas 14. pants atbalsta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Rekultivētās kūdras teritorijās var būt lietderīgi izmantot atjaunīgo energoresursu (AER), piemēram, saules enerģijas ieguvei. Arī, ja AER iekārtu uzstādīšana nav projekta atbalstāmā aktivitāte, būtu lietderīgi noteikumu tekstā vai anotācijā norādīt, ka šāds rekultivētās teritorijas izmantošanas veids ir atļauts.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anotācijā papildināta sadaļa 1.3. “Pašreizējā situācija, problēmas un risinājumi”, apakšsadaļa “Revitalizācijas veidu atbalsta nosacījumi un komercdarbības atbalsta piemērojamība”, norādot, ka ārpus projekta ietvariem revitalizētās teritorijās var tikt īstenota atjaunīgo energoresursu (AER) iekārtu uzstādīšana, ievērojot nosacījumu par projekta rezultātu uzturēšanu piemērojot komercdarbības atbalsta regulējumu visā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kūdras ieguves vietu rekultivācijas veidus nosaka Ministru kabineta 2012. gada 21. augusta noteikumu Nr. 570 “Derīgo izrakteņu ieguves kārtība” 91. punkts. Bet MK noteikumu projektā kā atbalstāmi iekļauti tie rekultivācijas veidi, kas nodrošina lielāko siltumnīcefekta gāzu emisiju samazinājumu, atbilstoši Taisnīgas pārkārtošanās teritoriālajam plāna un Taisnīgas pārkārtošanās fonda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MK noteikumu projekta darbībām piemērojamais komercdarbības atbalsta regulējums meža ierīkošanas, renaturalizācijas, ūdenstilpju izveides un ogulāju ierīkošanai sniedz iespēju īstenot saimniecisko darbību un gūt ieņēmumus projekta īstenošanas teritorijā projekta dzīves ciklā. Komercdarbības atbalsta piemērošanas gadījumā šie ieņēmumi nav ierobežoti ne pēc veida, ne apjoma. Līdz ar to, nodrošinot projekta rezultātu uzturēšanu projekta dzīves ciklā, revitalizētā teritorija var tikt papildināta arī ar AER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ceturtās un piektās atlases kārtas mērķis ir mazināt vēsturiski radīto kaitējumu dabas resursiem vēsturiskajās kūdras ieguves vietās, revitalizējot purvu, mežu, ūdenstilpju ekosistēmas un atjaunojot to funkcionalitāti, mazinot siltumnīcefekta gāzu emisijas, kā arī stiprinot to spēju piesaistīt oglekļa dioksīdu. Piektās atlases kārtas papildu mērķis ir veikt vēsturisko kūdras ieguves vietu revitalizāciju, ierīkojot ilggadīgos un paludikultūru stādījumus, tādējādi samazinot siltumnīcefekta gāzu emisijas un veicinot šo teritoriju izmantošanu un ekonomisko aktivitāti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atkārtoti norāda uz to, ka likumā "Par zemes dzīlēm" un saistītajos normatīvajos aktos, t.sk. MK rīkojumā Nr. 696 "Par Kūdras ilgtspējīgas izmantošanas pamatnostādnēm 2020.–2030. gadam", nav definēts termins "revitalizācija", līdz ar to KEM uzskata, ka pastāv ilgtermiņa riski projekta rezultātu novērtēšanā.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priekšlikumā norādīto par termina “revitalizācija” neesamību likumā “Par zemes dzīlēm” un ar to saistītajos normatīvajos aktos, skaidrojam, ka termina “revitalizācija” lietojums MK noteikumu projektā netiek izmantots kā jauns tiesisks jēdziens likuma “Par zemes dzīlēm” izpratnē, bet gan kā ES fondu pasākuma apzīmējums pasākumu kopumam, kas vērsti uz degradēto teritoriju ilgtspējīgu atjaunošanu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arī uz vēsturiskajām kūdras ieguves vietām rekultivācijas jēdziens likuma “Par zemes dzīlēm” izpratnē praksē nav pilnībā attiecināms, jo vairākos gadījumos ieguve veikta vēsturiski, pirms minētais likums stājās spēkā. Attiecīgi šādu teritoriju atjaunošana ar publisko finansējumu nevar tikt kvalificēta kā likumā noteiktā ieguvēja pienākuma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2012. gada 21. augusta noteikumu Nr. 570 “Derīgo izrakteņu ieguves kārtība”, kā arī likuma “Par zemes dzīlēm” 14. panta 8. punkta regulējums nosaka ieguvēja pienākumu rekultivēt zemes dzīļu izmantošanas rezultātā radušos kaitējumu par saviem līdzekļiem licencē noteiktajā termiņā, savukārt MK rīkojumā Nr. 696 “Par Kūdras ilgtspējīgas izmantošanas pamatnostādnēm 2020.–2030. gadam” nav detalizēti atrunāta vēsturisko kūdras ieguves vietu atjaunošana, kā arī nav noteikti normatīvie kritēriji vai procedūras šādu teritoriju rekultivācijas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noteikumu projektā lietotais termina “revitalizācija” saturs ir skaidri definēts atbalsta pasākumu kontekstā, sasaistot to ar konkrētiem atbalstāmiem rekultivācijas veidiem, siltumnīcefekta gāzu emisiju samazinājuma sasniegšanu un projekta rezultātu uzturēšanu. Attiecīgi termina lietojums nerada ilgtermiņa riskus projekta rezultātu novērtēšanā, jo projekta uzraudzība tiek balstīta konkrētos, izmērāmos rādītājos un konkrētu darbību īstenošanu atbilstoši spēkā esošajam tiesiskajam regulējumam, nevis termina normatīvajā definīcijā.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MK rīkojumā Nr. 696 ietvertais vēsturisko kūdras ieguves vietu raksturojums, norādot, ka tās ir teritorijas, kuras “nav izslēgtas no derīgo izrakteņu atradņu reģistra”, neatbilst zemes dzīļu informācijas sistēmas darbības principiem, jo informācija par kūdras ieguvi tiek uzturēta arī pēc ieguves izbeigšanas un no sistēmas netiek dzēsta. Attiecīgi šī pieeja praksē neļauj viennozīmīgi identificēt vēsturiskās kūdras ieguves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ceturtās un piektās atlases kārtas mērķis ir mazināt vēsturiski radīto kaitējumu dabas resursiem vēsturiskajās kūdras ieguves vietās, revitalizējot purvu, mežu, ūdenstilpju ekosistēmas un atjaunojot to funkcionalitāti, mazinot siltumnīcefekta gāzu emisijas, kā arī stiprinot to spēju piesaistīt oglekļa dioksīdu. Piektās atlases kārtas papildu mērķis ir veikt vēsturisko kūdras ieguves vietu revitalizāciju, ierīkojot ilggadīgos stādījumus, tādējādi samazinot siltumnīcefekta gāzu emisijas un veicinot šo teritoriju izmantošanu un ekonomisko aktivitāti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tiek veikti ieguldījumi pamatnostādņu 3. pielikumā minētajās teritorijās vismaz 5 100 hektāru platībā (ceturtajā atlases kārtā  – 150 hektāri, piektajā atlases kārtā – 4 950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atkārtoti vērš uzmanību, ka Vides aizsardzības likumā termins "sanācija" lietots saistībā ar piesārņotām vai potenciāli piesārņotām vietām, kā arī situācijām, ja nodarīts kaitējums videi un izdarīts pārkāpums, likuma 25. panta trešajā daļā nosakot darbības, pēc kurām ir jānovērš kaitējums un jāveic sanācija. KEM ieskatā termins "sanācija" šī projekta kontekstā ir lietots neatbilstoši.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iznākuma rādītāja nosaukums, kas ietver terminu “sanācija”, tiek lietots atbilstoši oficiālajam tulkojumam Eiropas Savienības kohēzijas politikas programmā 2021.–2027. gadam, kas ir tieši piemērojama šim pasākumam. Attiecīgi iznākuma rādītāja nosaukums un tā terminoloģija ir pārņemta no ES līmeņa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rādītāja definīcija ir noteikta saskaņā ar Eiropas Komisijas izstrādātajām vadlīnijām Eiropas Reģionālās attīstības fonda, Kohēzijas fonda un Taisnīgas pārejas fonda 2021.–2027. gada plānošanas perioda pasākumu izvērtēšanai un uzraudzībai, un </w:t>
            </w:r>
            <w:r w:rsidR="00000000" w:rsidRPr="00000000" w:rsidDel="00000000">
              <w:rPr>
                <w:b w:val="1"/>
                <w:rtl w:val="0"/>
              </w:rPr>
              <w:t xml:space="preserve">tā nav grozāma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tiek veikti ieguldījumi pamatnostādņu 3. pielikumā minētajās teritorijās vismaz 5 100 hektāru platībā (ceturtajā atlases kārtā  – 150 hektāri, piektajā atlases kārtā – 4 950 hektāri);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Taisnīgas pārkārtošanās fonda finansējuma apmērs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noteikumu projekta 42. punktu kontekstā ar 14. punktā noteikto, nodrošinot korektu, viennozīmīgu un nepārprotamu projekta redakciju. Vēršam uzmanību, ka, atbilstoši 42.2. apakšpunktam "</w:t>
            </w:r>
            <w:r w:rsidR="00000000" w:rsidRPr="00000000" w:rsidDel="00000000">
              <w:rPr>
                <w:i w:val="1"/>
                <w:rtl w:val="0"/>
              </w:rPr>
              <w:t xml:space="preserve">īstenojot </w:t>
            </w:r>
            <w:r w:rsidR="00000000" w:rsidRPr="00000000" w:rsidDel="00000000">
              <w:rPr>
                <w:i w:val="1"/>
                <w:u w:val="single"/>
                <w:rtl w:val="0"/>
              </w:rPr>
              <w:t xml:space="preserve">meliorācijas sistēmu izbūv</w:t>
            </w:r>
            <w:r w:rsidR="00000000" w:rsidRPr="00000000" w:rsidDel="00000000">
              <w:rPr>
                <w:i w:val="1"/>
                <w:rtl w:val="0"/>
              </w:rPr>
              <w:t xml:space="preserve">i</w:t>
            </w:r>
            <w:r w:rsidR="00000000" w:rsidRPr="00000000" w:rsidDel="00000000">
              <w:rPr>
                <w:i w:val="1"/>
                <w:u w:val="single"/>
                <w:rtl w:val="0"/>
              </w:rPr>
              <w:t xml:space="preserve">, atjaunošanu vai pārbūvi un ar to saistīto meža ieaudzēšanu un meža agrotehnisko kopšanu</w:t>
            </w:r>
            <w:r w:rsidR="00000000" w:rsidRPr="00000000" w:rsidDel="00000000">
              <w:rPr>
                <w:i w:val="1"/>
                <w:rtl w:val="0"/>
              </w:rPr>
              <w:t xml:space="preserve">, atbalsta likme nepārsniedz 80 procentus no projekta kopējā attiecināmā finansējuma</w:t>
            </w:r>
            <w:r w:rsidR="00000000" w:rsidRPr="00000000" w:rsidDel="00000000">
              <w:rPr>
                <w:rtl w:val="0"/>
              </w:rPr>
              <w:t xml:space="preserve">.", tomēr 14.2.apakšpunkts paredz, ka, īstenojot šo noteikumu 23.2. (</w:t>
            </w:r>
            <w:r w:rsidR="00000000" w:rsidRPr="00000000" w:rsidDel="00000000">
              <w:rPr>
                <w:u w:val="single"/>
                <w:rtl w:val="0"/>
              </w:rPr>
              <w:t xml:space="preserve">meža ieaudzēšana un agrotehniskā kopšana</w:t>
            </w:r>
            <w:r w:rsidR="00000000" w:rsidRPr="00000000" w:rsidDel="00000000">
              <w:rPr>
                <w:rtl w:val="0"/>
              </w:rPr>
              <w:t xml:space="preserve">) un 23.3. (meža ieaudzēšanai nepieciešamās ūdens līmeņa regulācijas, tostarp </w:t>
            </w:r>
            <w:r w:rsidR="00000000" w:rsidRPr="00000000" w:rsidDel="00000000">
              <w:rPr>
                <w:u w:val="single"/>
                <w:rtl w:val="0"/>
              </w:rPr>
              <w:t xml:space="preserve">meliorācijas sistēmas izbūve, atjaunošana vai pārbūve</w:t>
            </w:r>
            <w:r w:rsidR="00000000" w:rsidRPr="00000000" w:rsidDel="00000000">
              <w:rPr>
                <w:rtl w:val="0"/>
              </w:rPr>
              <w:t xml:space="preserve">) apakšpunktā minētās darbības, nepārsniedz 95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13. punkts nosaka maksimāli pieejamo Taisnīgas pārkārtošanās fonda finansējuma apmēru, kuru nav atļauts pārsniegt, vienlaikus paredzot, ka faktiskā atbalsta intensitāte var būt arī mazāka.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23.2. un 23.3. apakšpunktā minētajām darbībām maksimālā pieejamā Taisnīgas pārkārtošanās fonda atbalsta intensitāte ir noteikta līdz 95 %, vienlaikus ievērojot MK noteikumu projekta 42. punktā noteiktos nosacījumus, kur savukārt 42.2. apakšpunkts paredz samazinātu atbalsta intensitāti – 80 % apmērā –, ja tiek īstenota meža ieaudzēšana uz meliorētas augsnes, tai skaitā šāda ieaudzētā meža agrotehniskā kopšana, kā arī meliorācijas sistēmu izbūve, atjaunošana vai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Taisnīgas pārkārtošanās fonda finansējuma apmērs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pasākuma ceturtajā un piektajā atlases kārtā netiek izmantots viss tai paredzētais Taisnīgas pārkārtošanās fonda finansējums, var īstenot atkārtotus uzsaukumus vai arī neizmantoto finansējuma daļu pārdalīt citu 6.1.1. specifiskā atbalsta mērķa "Pārejas uz klimatneitralitāti radīto ekonomisko, sociālo un vides seku mazināšana visvairāk skartajos reģionos " pasākumu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pārdalei uz citiem specifisko atbalsta mērķu pasākumiem nepieciešams atsevišķs Ministru kabineta lēmums (t.i. veicami atbilstoši grozījumi saistītajos normatīvajos aktos), lūdzam svītrot noteikumu projekta 15. punktā vārdus un skaitļus "vai arī neizmantoto finansējuma daļu pārdalīt citu 6.1.1. specifiskā atbalsta mērķa "Pārejas uz klimatneitralitāti radīto ekonomisko, sociālo un vides seku mazināšana visvairāk skartajos reģionos "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pasākuma ceturtajā un piektajā atlases kārtā netiek izmantots viss tai paredzētais Taisnīgas pārkārtošanās fonda finansējums, var īstenot atkārtotus uzsaukumus.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pasākuma ceturtajā un piektajā atlases kārtā netiek izmantots viss tai paredzētais Taisnīgas pārkārtošanās fonda finansējums, var īstenot atkārtotus uzsaukumus.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pasākuma piektajā atlases kārtā - privātpersona, kuras īpašumā, valdījumā vai turējumā atrodas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teritorijas vai īpašnieka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apakšsadaļas "Risinājuma apraksts" punktā "Projekta iesniedzējs un finansējuma saņēmējs" skaidrots, ka privātpersonai (finansējuma saņēmējam, kurš minēts noteikumu projekta 16.2. apakšpunktā, un sadarbības partnerim, kurš minēts noteikumu projekta 17.1. apakšpunktā) attiecīgā teritorija var būt ne tikai īpašumā, valdījumā vai turējumā, bet privātpersona arī var būt ieguvusi </w:t>
            </w:r>
            <w:r w:rsidR="00000000" w:rsidRPr="00000000" w:rsidDel="00000000">
              <w:rPr>
                <w:u w:val="single"/>
                <w:rtl w:val="0"/>
              </w:rPr>
              <w:t xml:space="preserve">apbūves tiesības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precizēt noteikumu projekta 16.2. un 17.1. apakšpunktu, papildinot ar norādi uz apbūves tiesību iegūšanu kā vienu no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pasākuma piektajā atlases kārtā - privātpersonas, kuras īpašumā, valdījumā vai turējumā atrodas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teritorija vai kurai uz šīm teritorijām ir nodibinātas apbūves tiesības, kā arī minēto teritoriju īpašnieka pilnvarota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ceturtās un piektās atlases kārtas ietvaros atbalstāma ir šādu darbību veikšana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minētajās teritorijās saskaņā ar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minētajām revitalizācijas stratēģijām vai atzinumiem, kas tiek segtas saskaņā ar atbildīgās iestādes apstiprināto un vadošās iestādes saskaņoto vienas vienības izmaksu likmju aprēķina un piemērošanas metodiku (turpmāk -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26. punktā un 23. punktā (iepriekš 22. punkts) noteikto, ņemot vērā, ka pretēji izziņas 26. punktā skaidrotajam noteikumu projekta 23. punktā (iepriekš 22. punktā) ne tikai uzskaitītas atbalstāmās darbības, bet arī norādīts, ka tās tiek segtas saskaņā ar konkrēto metodiku un arī 26. punkts nosaka, ka attiecināmās izmaksas nosaka un izmaksā saskaņā ar atbildīgās iestādes apstiprināto un vadošās iestādes saskaņoto metodiku. Papildus lūdzam ievērot 23. punktā pieteikto saīsinājumu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labots MK noteikumu projekta 26. punkts, izmantojot iepriekš atrunāto saīsinājumu “metodika”, kā arī precizēta MK noteikumu projekta 23. punkta redakcija, svītrojot vārdu “</w:t>
            </w:r>
            <w:r w:rsidR="00000000" w:rsidRPr="00000000" w:rsidDel="00000000">
              <w:rPr>
                <w:i w:val="1"/>
                <w:rtl w:val="0"/>
              </w:rPr>
              <w:t xml:space="preserve">segtas</w:t>
            </w:r>
            <w:r w:rsidR="00000000" w:rsidRPr="00000000" w:rsidDel="00000000">
              <w:rPr>
                <w:rtl w:val="0"/>
              </w:rPr>
              <w:t xml:space="preserve">” un tā vietā lietojot vārdu “</w:t>
            </w:r>
            <w:r w:rsidR="00000000" w:rsidRPr="00000000" w:rsidDel="00000000">
              <w:rPr>
                <w:i w:val="1"/>
                <w:rtl w:val="0"/>
              </w:rPr>
              <w:t xml:space="preserve">atbalstītas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citas redakcijas izmaiņas netika veiktas, jo MK noteikumu projekta V nodaļa nosaka atbalstāmās darbības, kas ir noteiktas saskaņā ar metodiku. Metodikas apraksta nosaukums savukārt ietver arī attiecināmo izmaksu likmju aprēķinu un tas nav maināms, lai gan V nodaļā netiek aprakstītas izmaksas, bet gan uzskaitītas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ceturtās un piektās atlases kārtas ietvaros atbalstāma ir šādu darbību veikšana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minētajās teritorijās saskaņā ar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minētajām revitalizācijas stratēģijām vai atzinumiem, kas tiek atbalstītas saskaņā ar atbildīgās iestādes apstiprināto un vadošās iestādes saskaņoto vienas vienības izmaksu likmju aprēķina un piemērošanas metodiku (turpmāk - metodika):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saņemšanas nosacījumi un komercdarbības atbalsta regulējums, īstenojot meža ieaudzēšanu, meža ūdens līmeņa regulācijas, tostarp meliorācijas sistēmas izveidi, atjaunošanu vai pārbūvi un ieaudzētā meža agrotehnisko kopšanu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noteikumu projektā lietot konsekventus, vienveidīgus formulējumus. Piemēram, no noteikumu projekta izriet atbalstāmā darbība "ūdens līmeņa regulācijas tostarp meliorācijas sistēmas </w:t>
            </w:r>
            <w:r w:rsidR="00000000" w:rsidRPr="00000000" w:rsidDel="00000000">
              <w:rPr>
                <w:u w:val="single"/>
                <w:rtl w:val="0"/>
              </w:rPr>
              <w:t xml:space="preserve">izbūve</w:t>
            </w:r>
            <w:r w:rsidR="00000000" w:rsidRPr="00000000" w:rsidDel="00000000">
              <w:rPr>
                <w:rtl w:val="0"/>
              </w:rPr>
              <w:t xml:space="preserve">, atjaunošana vai pārbūve", nevis "ūdens līmeņa regulācijas tostarp meliorācijas sistēmas </w:t>
            </w:r>
            <w:r w:rsidR="00000000" w:rsidRPr="00000000" w:rsidDel="00000000">
              <w:rPr>
                <w:u w:val="single"/>
                <w:rtl w:val="0"/>
              </w:rPr>
              <w:t xml:space="preserve">izveide</w:t>
            </w:r>
            <w:r w:rsidR="00000000" w:rsidRPr="00000000" w:rsidDel="00000000">
              <w:rPr>
                <w:rtl w:val="0"/>
              </w:rPr>
              <w:t xml:space="preserve">, atjaunošana vai pārbūve" u.tml. Atbilstoši izziņas 31. punktam ir veiktas izmaiņas nodaļas nosaukumā, kas no noteikumu projekta neizriet.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saņemšanas nosacījumi un komercdarbības atbalsta regulējums, īstenojot meža ieaudzēšanu, meža ūdens līmeņa regulācijas, tostarp meliorācijas sistēmas izbūvi, atjaunošanu vai pārbūvi un ieaudzētā meža agrotehnisko kopšanu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partneris (ja attiecināms), lai saņemtu izmaksu par meža ieaudzēšanu un/vai agrotehnisko kopšanu, saskaņā ar metodiku sagatavo un, izmantojot Meža valsts reģistra ģeogrāfiskās informācijas sistēmu, Valsts meža dienestā iesniedz pārskatu par veikto meža ieaudzēšanu, ieaudzētā meža agrotehnisko kopšanu, kam attiecībā uz meža ieaudzēšanu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formulējuma "un/vai" lietojumu. Vēršam uzmanību, ka tā vietā atbilstoši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lietojams saiklis "un" vai saiklis "vai"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ar simbola "/" vietā lietojams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pārskatīts saikļu “</w:t>
            </w:r>
            <w:r w:rsidR="00000000" w:rsidRPr="00000000" w:rsidDel="00000000">
              <w:rPr>
                <w:i w:val="1"/>
                <w:rtl w:val="0"/>
              </w:rPr>
              <w:t xml:space="preserve">un</w:t>
            </w:r>
            <w:r w:rsidR="00000000" w:rsidRPr="00000000" w:rsidDel="00000000">
              <w:rPr>
                <w:rtl w:val="0"/>
              </w:rPr>
              <w:t xml:space="preserve">” un “</w:t>
            </w:r>
            <w:r w:rsidR="00000000" w:rsidRPr="00000000" w:rsidDel="00000000">
              <w:rPr>
                <w:i w:val="1"/>
                <w:rtl w:val="0"/>
              </w:rPr>
              <w:t xml:space="preserve">vai</w:t>
            </w:r>
            <w:r w:rsidR="00000000" w:rsidRPr="00000000" w:rsidDel="00000000">
              <w:rPr>
                <w:rtl w:val="0"/>
              </w:rPr>
              <w:t xml:space="preserve">” lietojums MK noteikumu projektā, labojot MK noteikumu projekta 48. punkta redakciju lietojot tikai saikli “</w:t>
            </w:r>
            <w:r w:rsidR="00000000" w:rsidRPr="00000000" w:rsidDel="00000000">
              <w:rPr>
                <w:i w:val="1"/>
                <w:rtl w:val="0"/>
              </w:rPr>
              <w:t xml:space="preserve">un</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partneris (ja attiecināms), lai saņemtu izmaksu par meža ieaudzēšanu un agrotehnisko kopšanu, saskaņā ar metodiku sagatavo un, izmantojot Meža valsts reģistra ģeogrāfiskās informācijas sistēmu, Valsts meža dienestā iesniedz pārskatu par veikto meža ieaudzēšanu, ieaudzētā meža agrotehnisko kopšanu, kam attiecībā uz meža ieaudzēšanu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izmaksas par tehnikas un iekārtu iegādi virszemes pretsalnas aizsardzībai (pretsalnas laistīšana, gaisa maisīšanas torņi, miglas ģeneratori), pilienu laistīšanai ar precīzu mēslojuma un augu aizsardzības līdzekļu lietojumu (ūdens padeves un spiediena nodrošināšanas iekārtas, filtrācijas iekārtās, caurules, individuālie pilinātāji, vadības un automatizācijas iekārtas, mēslojuma dozatori u.c.) un krusas aizsargtīkliem;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kur iespējams, izvairīties no skaidrojuma sniegšanas iekavās un pieturzīmi iekavas aizstāt ar pieturzīmi komats.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skaidrojuma sniegšanai iekavas aizstātas ar komatiem.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uz to, ka “ja attiecināms” atstāts iekavās, lai skaidri noteiktu, ka attiecināmība noteikta tikai uz sadarbības partneri nevis abiem subjektiem kopā. Turklāt VARAM izstrādātajos normatīvo aktu projektos vairāku ES fondu plānošanas periodu laikā  izmantotā pieraksta forma “ja attiecināms” iekavās nav izraisījusi  neskaidrības par tiesību normas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izmaksas par tehnikas un iekārtu iegādi;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ilggadīgo stādu piemēram, krūmmelleņu, parastās niedres un augu pavairojamā materiāla, piemēram lielogu dzērveņu stīgu, izmaksas, kā arī purva videi raksturīgo augu donormateriāla ievākšanas izmaksas donorteritorijās un to reintrodukcijas (izkliedēšanas) un transportēšanas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noteikumu projektu un izvairīties tajā no sinonīmu lietošanas, piemēram "reintrodukcija (izkliedēšana)". Norādām, ka atbilstoši juridiskās tehnikas prasībām normatīvajā aktā nelieto sinonīmus, vienu lietu konsekventi sauc vienā un tajā pašā vārdā un sinonīma lietošana iekavās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priekšlikumā paustajam, normatīvā akta tekstā neizmantojot sinonīmus un atsakoties no sinonīma norādīšanas iekavās.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 ka jēdziens “reintrodukcija” netiek lietots kā sinonīms jēdzienam “izkliedēšana”, bet kā plašāks jēdziens, kas ietver arī izkliedēšanu kā vienu no iespējamajiem reintrodukcijas īstenošanas veidiem, kas normatīvā akta tekstā atspoguļots formulējumā “</w:t>
            </w:r>
            <w:r w:rsidR="00000000" w:rsidRPr="00000000" w:rsidDel="00000000">
              <w:rPr>
                <w:i w:val="1"/>
                <w:rtl w:val="0"/>
              </w:rPr>
              <w:t xml:space="preserve">reintrodukcija, tostarp izkliedēšana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ilggadīgo stādu piemēram, krūmmelleņu, parastās niedres un augu pavairojamā materiāla, piemēram lielogu dzērveņu stīgu, izmaksas, kā arī purva videi raksturīgo augu donormateriāla ievākšanas izmaksas donorteritorijās un to reintrodukcijas, tostarp izkliedēšanas un transportēšanas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Lauksaimniecībā izmantojamai zemei, kas atrodas īpaši jutīgajā teritorijā, mēslošanas plānu izstrādā saskaņā ar normatīvajiem aktiem par ūdens un augsnes aizsardzību no lauksaimnieciskās darbības izraisīta piesārņojuma.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atkārtoti aicinām noteikumu projektā nodrošināt precīzas, korektas atsauces uz normatīvajiem aktiem vai to jomu. Piemēram, noteikumu projekta 61. punktā būtu norādāms nevis "normatīvie akti par ūdens un augsnes aizsardzību no lauksaimnieciskās darbības izraisīta piesārņojuma", bet "normatīvie akti par prasībām ūdens, augsnes un gaisa aizsardzībai no lauksaimnieciskās darbības izraisīta piesārņojuma". Tāpat aicinām atsaukties uz noteikumiem par meža atjaunošanu, meža ieaudzēšanu un plantāciju mežu atbilstoši spēkā esošajiem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61. punkts un 43.3. apakšpunkts 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Lauksaimniecībā izmantojamai zemei, kas atrodas īpaši jutīgajā teritorijā, mēslošanas plānu izstrādā saskaņā ar normatīvajiem aktiem par prasībām ūdens, augsnes un gaisa aizsardzībai no lauksaimnieciskās darbības izraisīta piesārņojuma.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 pasākuma piektajā atlases kārtā, ja finansējuma saņēmējs ir fiziska persona, sadarbības iestāde, ievērojot šo noteikumu </w:t>
            </w:r>
            <w:r w:rsidR="00000000" w:rsidRPr="00000000" w:rsidDel="00000000">
              <w:rPr>
                <w:rtl w:val="0"/>
              </w:rPr>
              <w:t xml:space="preserve">73.1.1. </w:t>
            </w:r>
            <w:r w:rsidR="00000000" w:rsidRPr="00000000" w:rsidDel="00000000">
              <w:rPr>
                <w:rtl w:val="0"/>
              </w:rPr>
              <w:t xml:space="preserve">apakšpunktā</w:t>
            </w:r>
            <w:r w:rsidR="00000000" w:rsidRPr="00000000" w:rsidDel="00000000">
              <w:rPr>
                <w:rtl w:val="0"/>
              </w:rPr>
              <w:t xml:space="preserve"> minēto normatīvo aktu un vadlīniju prasības, nodrošina komunikācijas un vizuālās identitātes pasākumu īstenošanu pēc civiltiesiskā līguma par projektu īstenošanu parakstīšanas publicējot informāciju par projektu. Projekta iesniedzējs apliecina, ka ir informēts par projektu raksturojošās informācijas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73.1.2. apakšpunktā teikumu "Projekta iesniedzējs apliecina, ka ir informēts par projektu raksturojošās informācijas publicēšanu", jo saredzam tajā papildu apgrūtinājumu projekta īstenotājiem (fiziskām personām) un lieku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šādu apliecinājumu varētu prasīt, ja tam būtu kāds juridiskas pamatojums, piemēram Fizisko personu datu apstrādes likums neļautu publiskot šo informāciju bez personas piekrišanas. Informējam, ka jau šobrīd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nosaka par pienākumu arī gadījumos, kad finansējuma saņēmējs ir fiziska persona publicēt šos datus informācijas caurspīdīguma nodrošināšanai, un tas tiek darīts Kohēzijas politikas fondu vadības informācijas sistēmā (turpmāk - KPVIS),  savukārt KPVIS dati arī tiek pārpublicēti tīmekļa vietnē www.esfondi.lv un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šī informācija jau ir publiski pieejama un šāda apliecinājuma pieprasīšana neko nemaina pēc būtības, un rada papildus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salāgot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 gan MK noteikumu projekta 73.1.2. apakšpunkts, gan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 pasākuma piektajā atlases kārtā, ja finansējuma saņēmējs ir fiziska persona, sadarbības iestāde, ievērojot šo noteikumu </w:t>
            </w:r>
            <w:r w:rsidR="00000000" w:rsidRPr="00000000" w:rsidDel="00000000">
              <w:rPr>
                <w:rtl w:val="0"/>
              </w:rPr>
              <w:t xml:space="preserve">73.1.1. </w:t>
            </w:r>
            <w:r w:rsidR="00000000" w:rsidRPr="00000000" w:rsidDel="00000000">
              <w:rPr>
                <w:rtl w:val="0"/>
              </w:rPr>
              <w:t xml:space="preserve">apakšpunktā</w:t>
            </w:r>
            <w:r w:rsidR="00000000" w:rsidRPr="00000000" w:rsidDel="00000000">
              <w:rPr>
                <w:rtl w:val="0"/>
              </w:rPr>
              <w:t xml:space="preserve"> minēto normatīvo aktu prasības, nodrošina komunikācijas un vizuālās identitātes pasākumu īstenošanu pēc civiltiesiskā līguma par projektu īstenošanu parakstīšanas publicējot informāciju par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papildu komercdarbības atbalsts tiek piešķirts projekta īstenošanas laikā ar regulas nr. 651/2014 45. panta 2. punkta "c" un "d" apakšpunktu, par atbalsta piešķiršanas brīdi uzskata dienu, kad tiek parakstīti attiecīgie civiltiesiskā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un papildināt noteikumu projekta 83. punktu ar vārdu "saskaņā".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papildu komercdarbības atbalsts tiek piešķirts projekta īstenošanas laikā </w:t>
            </w:r>
            <w:r w:rsidR="00000000" w:rsidRPr="00000000" w:rsidDel="00000000">
              <w:rPr>
                <w:u w:val="single"/>
                <w:rtl w:val="0"/>
              </w:rPr>
              <w:t xml:space="preserve">saskaņā </w:t>
            </w:r>
            <w:r w:rsidR="00000000" w:rsidRPr="00000000" w:rsidDel="00000000">
              <w:rPr>
                <w:rtl w:val="0"/>
              </w:rPr>
              <w:t xml:space="preserve">ar regulas nr. 651/2014 45. panta 2. punkta "c" un "d" apakšpunktu, par atbalsta piešķiršanas brīdi uzskata dienu, kad tiek parakstīti attiecīgie civiltiesiskā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papildu komercdarbības atbalsts tiek piešķirts projekta īstenošanas laikā saskaņā ar regulas nr. 651/2014 45. panta 2. punkta "c" un "d" apakšpunktu, par atbalsta piešķiršanas brīdi uzskata dienu, kad tiek parakstīti attiecīgie civiltiesiskā līguma vai vienošanās par projekta īstenošanu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atspoguļot no noteikumu projekta izrietošo,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svītrots nosacījums par to, ka piektajā atlases kārtā īstenojot ilggadīgo stādījumu izveidi komercdarbības atbalstu piešķir, ja ir ievēroti regulas Nr. 2022/2472 14. panta 6.punkta "f" apakšpunkta "iv" apakšpunktā ietvertie nosacījumi (iepriekš projekta 65.7. apakšpunkts), bet skaidrojums anotācijā ir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skaidrojums par noteikumu projekta 33.7. apakšpunktu tiek svītrots, tomēr projektā šī vienība ir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no Ministru kabineta 2023. gada 25. aprīļa noteikumu Nr. 205 "Valsts budžeta līdzekļu plānošanas kārtība Eiropas Savienības fondu projektu īstenošanai un maksājumu veikšanai 2021.–2027. gada plānošanas periodā" 10. punkta atšķirīgu maksimālo avansa apjomu, lūdzam to anotācijā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uzskaitītajiem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MK noteikumu projektā svītrotas atsauces uz normām, kas nav tieši piemērojamas pasākumā, bet anotācijā tiek skaidrots, kādēļ tās nav tieši attiecināmas. Lai nodrošinātu normas izsekojamību, anotācijā labota redakcija, kas skaidro regulas Nr. 2022/2471 14. panta 6. punkta “f” apakšpunkta “iv” apakšpunkta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projekta 33.7. apakšpunkts nosaka regulas nr. 651/2014 prasību ievērošanu saistībā ar ko nav svītrotas anotācijas redakcijas, attiecīgi arī MK noteikumu projektā izmaiņas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skatīt anotācijā jau šobrīd sniegto skaidrojumu 1.3. sadaļā “Pašreizējā situācija, problēmas un risinājumi” apakšsadaļā “Citi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apakšsadaļā "Cita informācija" norādīto 6.1.1.1.pasākuma trešās atlases kārtas intervences kodu Nr. 74. Vēršam uzmanību, ka 6.1.1.1.pasākuma trešās atlases kārtā ir intervences kods Nr. 74 (25 255 000 euro), un intervences kods Nr. 79 (4 750 000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aizpildīt 5.3. apakšpunktu atbilstoši 3.3. apakšpunktā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tiek atbalstīta Taisnīgas pārkārtošanās fonda finansējuma novirzīšana 128 672 euro apmērā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atlases otrās kārtas (turpmāk – 6.1.1.1. pasākuma otrā kārta) uz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piekto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"Atbalstīt Taisnīgas pārkārtošanās fonda finansējuma novirzīšanu</w:t>
            </w:r>
            <w:r w:rsidR="00000000" w:rsidRPr="00000000" w:rsidDel="00000000">
              <w:rPr>
                <w:rtl w:val="0"/>
              </w:rPr>
              <w:t xml:space="preserve"> 128 672 euro apmērā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atlases otrās kārtas (turpmāk – 6.1.1.1. pasākuma otrā kārta) uz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piekto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Taisnīgas pārkārtošanās fonda finansējuma novirzīšanu 128 672 euro apmērā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atlases otrās kārtas (turpmāk – 6.1.1.1. pasākuma otrā kārta) uz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piekto projektu iesniegumu atlases kārtu.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Viedās administrācijas un reģionālās attīstības ministrija grozījumus Ministru kabineta 2025. gada 25. jūnija noteikumos Nr. 394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 nosakot, ka turpmāk 6.1.1.1. pasākuma otrās kārtas kopējais finansējums ir ne mazāks kā  1 025 092 euro, tai skaitā Taisnīgas pārkārtošanās fonda finansējums – 871 328 euro un nacionālais finansējums (pašvaldību finansējums) – ne mazāks kā 163 764 euro, sagatavos kopā ar citiem būtiskiem grozījumiem šajā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4.punktā norādīto, ka grozījumi par finansējuma pārdali no 6.1.1.1. pasākuma 2. kārtas skar anotācijas 4. sadaļu, lūdzam aizpildīt anotācijas 4. sadaļu ar norādi uz Ministru kabineta 2025. gada 25. jūnija noteikumiem Nr. 394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 (turpmāk – noteikumiem Nr. 394) kā grozāmo tiesību aktu, savukārt skaidrojumu, kādēļ grozījumi noteikumos Nr. 394 tiks veikti tikai kopā ar citiem būtiskiem grozījumiem tajos, pārcelt no anotācijas 1.6. sadaļas uz 4.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protokollēmuma 4.punktā norādīto nacionālo finansējumu (pašvaldības finansējums) no 163 764 euro uz 153 764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 papildinot anotācijas 4. sadaļu un dzēšot informāciju no anotācijas 1.6. sadaļas.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protokollēmuma 4. punktā norādītais nacionālā finansējuma (pašvaldības finansējuma) apmērs uz 153 754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Viedās administrācijas un reģionālās attīstības ministrija grozījumus Ministru kabineta 2025. gada 25. jūnija noteikumos Nr. 394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 nosakot, ka turpmāk 6.1.1.1. pasākuma otrās kārtas kopējais finansējums ir ne mazāks kā  1 025 092 euro, tai skaitā Taisnīgas pārkārtošanās fonda finansējums – 871 328 euro un nacionālais finansējums (pašvaldību finansējums) – ne mazāks kā 153 764 euro, sagatavos kopā ar citiem būtiskiem grozījumiem šajā normatīvajā aktā.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25.11.2025. 14:50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 punktu atbilstoši Eiropas Savienības fondu 2021.-2027. gada plānošanas perioda vadības likuma 19. panta 13.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w:t>
            </w:r>
            <w:r w:rsidR="00000000" w:rsidRPr="00000000" w:rsidDel="00000000">
              <w:rPr>
                <w:u w:val="single"/>
                <w:rtl w:val="0"/>
              </w:rPr>
              <w:t xml:space="preserve">noteikumu projekta pirmajā punktā secīgi raksta vārdus "noteikumi nosaka" un </w:t>
            </w:r>
            <w:r w:rsidR="00000000" w:rsidRPr="00000000" w:rsidDel="00000000">
              <w:rPr>
                <w:b w:val="1"/>
                <w:u w:val="single"/>
                <w:rtl w:val="0"/>
              </w:rPr>
              <w:t xml:space="preserve">likumā noteikto pilnvarojumu Ministru kabinetam</w:t>
            </w:r>
            <w:r w:rsidR="00000000" w:rsidRPr="00000000" w:rsidDel="00000000">
              <w:rPr>
                <w:rtl w:val="0"/>
              </w:rPr>
              <w:t xml:space="preserve">. Vēršam uzmanību, ka Eiropas Savienības fondu 2021.-2027. gada plānošanas perioda vadības likuma 19. panta 13. punkts cita starpā </w:t>
            </w:r>
            <w:r w:rsidR="00000000" w:rsidRPr="00000000" w:rsidDel="00000000">
              <w:rPr>
                <w:u w:val="single"/>
                <w:rtl w:val="0"/>
              </w:rPr>
              <w:t xml:space="preserve">paredz pilnvarojumu Ministru kabinetam noteikt</w:t>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w:t>
            </w:r>
            <w:r w:rsidR="00000000" w:rsidRPr="00000000" w:rsidDel="00000000">
              <w:rPr>
                <w:u w:val="single"/>
                <w:rtl w:val="0"/>
              </w:rPr>
              <w:t xml:space="preserve">pieejamo finansējumu</w:t>
            </w:r>
            <w:r w:rsidR="00000000" w:rsidRPr="00000000" w:rsidDel="00000000">
              <w:rPr>
                <w:rtl w:val="0"/>
              </w:rPr>
              <w:t xml:space="preserve"> (nevis plānoto un pieejamo finansējumu), </w:t>
            </w:r>
            <w:r w:rsidR="00000000" w:rsidRPr="00000000" w:rsidDel="00000000">
              <w:rPr>
                <w:u w:val="single"/>
                <w:rtl w:val="0"/>
              </w:rPr>
              <w:t xml:space="preserve">nacionālā līdzfinansējuma likmi un prasības</w:t>
            </w:r>
            <w:r w:rsidR="00000000" w:rsidRPr="00000000" w:rsidDel="00000000">
              <w:rPr>
                <w:rtl w:val="0"/>
              </w:rPr>
              <w:t xml:space="preserve"> vienīgi </w:t>
            </w:r>
            <w:r w:rsidR="00000000" w:rsidRPr="00000000" w:rsidDel="00000000">
              <w:rPr>
                <w:u w:val="single"/>
                <w:rtl w:val="0"/>
              </w:rPr>
              <w:t xml:space="preserve">projekta iesniedzējam un sadarbības partneriem (ja tos pieaicina)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(turpmāk – MK) noteikumu projekts ir sagatavots atbilstoši Eiropas Savienības (turpmāk – ES) fondu vadošās iestādes 2025. gada 17. jūlija vadlīnijām Nr. 1.4. “Vadlīnijas Ministru kabineta noteikumu par specifiskā atbalsta mērķa īstenošanu izstrādei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vadlīniju 4. un 5. lapā, sniedzot piemērus, ir noteikts, ka MK noteikumu deleģējumā ietver atsauci uz attiecīgajiem likuma pantiem, savukārt MK noteikumu projekta 1. punktā ietver informāciju atbilstoši likuma 19. panta 13. punktā paredzētajam deleģējumam, kā arī likuma 19. panta 6. punktā noteiktajam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MK noteikumu projektā ir sniegtas atsauces uz MK noteikumu deleģējumu, kā arī MK noteikumu 1. punktā ir ietverta no šī deleģējuma izrietošā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kā ES fondu atbildīgai iestādei, ir saistošas Vadošās iestādes izdotas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iebildums par 6.1.1. specifiskā atbalsta mērķa "Pārejas uz klimatneitralitāti radīto ekonomisko, sociālo un vides seku mazināšana visvairāk skartajos reģionos" 6.1.1.1. pasākuma "Atteikšanās no kūdras izmantošanas enerģētikā"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rezultāta rādītāja vērtību sasniegšanu apliecina finansējuma saņēmējs un sadarbības partneris (ja attiecināms), veicot emisiju aprēķinu atbilstoši atbildīgās iestādes metodiskajiem norādījumiem par aplēstajām siltumnīcefekta gāzu emisijām vai revitalizācijas stratēģijās norādītajam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ietvertās atsauces uz teritorijas revitalizācijas stratēģiju vai atbildīgās iestādes metodiskajiem norādījumiem un Eiropas Savienības fondu 2021. – 2027. gada un Atveseļošanās fonda komunikācijas un dizaina vadlīnijām, ņemot vērā, ka atbilstoši Ministru kabineta 2009. gada 3. februāra noteikumu Nr. 108 „Normatīvo aktu projektu sagatavošanas noteikumi” 131. punktam noteikumu projektā ietver atsauces uz citām projekta normām vai </w:t>
            </w:r>
            <w:r w:rsidR="00000000" w:rsidRPr="00000000" w:rsidDel="00000000">
              <w:rPr>
                <w:u w:val="single"/>
                <w:rtl w:val="0"/>
              </w:rPr>
              <w:t xml:space="preserve">tāda paša vai augstāka juridiskā spēka normatīvajiem aktiem</w:t>
            </w:r>
            <w:r w:rsidR="00000000" w:rsidRPr="00000000" w:rsidDel="00000000">
              <w:rPr>
                <w:rtl w:val="0"/>
              </w:rPr>
              <w:t xml:space="preserve">. Tāpat vēršam uzmanību, ka līdzīgi kā vadlīnijas, metodikas un rokasgrāmatas, arī stratēģijas nav juridiski saistošas privātpersonām, bet gan valsts pārvaldei. Tā kā noteikumu projekta iesniedzējs var būt arī privātpersona, kurai valsts pārvaldes pieņemtie politikas plānošanas dokumenti nav saistoši, projektā nevar uzlikt par pienākumu tiem ievērot dokumentus, kas tai nav juridiski saistoši.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vadlīniju, stratēģiju un metodiku nepieciešamo saturu pārņemt noteikumu projekta tekstā vai ietvert līgumā par projekta īstenošanu. Alternatīvi lūdzam sniegt pamatotu skaidrojumu par šādu atsauču 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stratēģijas netiek izstrādātas kā valsts pārvaldes pieņemti politikas plānošanas dokumenti. Minētās stratēģijas tiek izstrādātas 6.1.1.1. pasākuma pirmās projektu iesniegumu atlases kārtas ietvaros, kuru īstenošanu nosaka Ministru kabineta 2024. gada 9. jūlija noteikumi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ievērojot šo noteikumu 20.5.2. apakšpunktu, kā arī anotācijā uzskaitīto informāciju par saturu, kas ietverams attiecīgajās stratēģijās, atbilstoši labots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rezultāta rādītāja vērtību sasniegšanu apliecina finansējuma saņēmējs un sadarbības partneris (ja attiecināms), veicot aplēsto siltumnīcefekta gāzu emisiju aprēķinu vai norādot tās atbilstoši Ministru kabineta 2024.gada 9.jūlija noteikumu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w:t>
            </w:r>
            <w:r w:rsidR="00000000" w:rsidRPr="00000000" w:rsidDel="00000000">
              <w:rPr>
                <w:rtl w:val="0"/>
              </w:rPr>
              <w:t xml:space="preserve">20.5.2. apakšpunkta</w:t>
            </w:r>
            <w:r w:rsidR="00000000" w:rsidRPr="00000000" w:rsidDel="00000000">
              <w:rPr>
                <w:rtl w:val="0"/>
              </w:rPr>
              <w:t xml:space="preserve"> ietvaros izstrādātajā revitalizācijas dokumentā (turpmāk - revitalizācijas stratēģija) aprēķinātajām.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Taisnīgas pārkārtošanās fonda finansējuma apmērs nepārsniedz 85 procentus no projekta kopējā attiecināmā finansējuma, vienlaikus ievērojot šo noteikumu </w:t>
            </w:r>
            <w:r w:rsidR="00000000" w:rsidRPr="00000000" w:rsidDel="00000000">
              <w:rPr>
                <w:rtl w:val="0"/>
              </w:rPr>
              <w:t xml:space="preserve">35.</w:t>
            </w:r>
            <w:r w:rsidR="00000000" w:rsidRPr="00000000" w:rsidDel="00000000">
              <w:rPr>
                <w:b w:val="1"/>
                <w:rtl w:val="0"/>
              </w:rPr>
              <w:t xml:space="preserve"> </w:t>
            </w:r>
            <w:r w:rsidR="00000000" w:rsidRPr="00000000" w:rsidDel="00000000">
              <w:rPr>
                <w:rtl w:val="0"/>
              </w:rPr>
              <w:t xml:space="preserve">un </w:t>
            </w:r>
            <w:r w:rsidR="00000000" w:rsidRPr="00000000" w:rsidDel="00000000">
              <w:rPr>
                <w:rtl w:val="0"/>
              </w:rPr>
              <w:t xml:space="preserve">69. </w:t>
            </w:r>
            <w:r w:rsidR="00000000" w:rsidRPr="00000000" w:rsidDel="00000000">
              <w:rPr>
                <w:rtl w:val="0"/>
              </w:rPr>
              <w:t xml:space="preserve">punkta</w:t>
            </w:r>
            <w:r w:rsidR="00000000" w:rsidRPr="00000000" w:rsidDel="00000000">
              <w:rPr>
                <w:rtl w:val="0"/>
              </w:rPr>
              <w:t xml:space="preserve"> nosacījumus. Nacionālais līdzfinansējums, ko veido pašvaldības budžeta vai pašvaldības līdzfinansējums, par kuru nav saņemts komercdarbības atbalsts, vai privātais līdzfinansējums ir vismaz 15 procenti no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stimulētu mitrāju hidroloģiskā režīma atjaunošanu izvēloties apmežošanas veidu, ierosinām palielināt atbalsta likmi apmežošanai ar paludikultūru kokiem (piemēram, melnalksni).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Taisnīgas pārkārtošanās fonda finansējuma apmērs nepārsniedz 95 procentus no projekta kopējā attiecināmā finansējuma pie apmežošanas ar mitrāju hidroloģiskā režīma atjaunošanu (paludikultūru meži) vai 80 procentus pie apmežošanas bez mitrāju hidroloģiskā režīma atjaunošanas, vienlaikus ievērojot šo noteikumu 35. un 69. punkta nosacījumus. Nacionālais līdzfinansējums, ko veido pašvaldības budžeta vai pašvaldības līdzfinansējums, par kuru nav saņemts komercdarbības atbalsts, vai privātais līdzfinansējums ir attiecīgi vismaz 5 vai 20 procenti no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veikti labojumi MK noteikumu projekta 14. punktā un anotācijas 1.3. sadaļā “Pašreizējā situācija, problēmas un risinājumi”, kā arī 3. nodaļā, nosakot maksimālo atbalsta likmi 95 % apmērā mitrājam raksturīgā ūdenslīmeņa režīma atjaunošanai un ar to saistītai meža ieaudzēšanai un ieaudzētā meža agrotehniskajai kopšanai. Vienlaikus TPF maksimālā atbalsta likme samazināta līdz 80 % gadījumos, kad tiek īstenota meliorācija un ar to saistīta meža ieaudzēšana un šāda meža agrotehniskā kopšana.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kopumā stimulētu mitrājiem raksturīga hidroloģiskā režīma atjaunošanu, palielināta maksimālā atbalsta likme renaturalizācijai nosakot to 90% apmērā, ja netiek piemērots komercdarbības atbalsts un gadījumā, ja tiek piemērots komercdarbības atbalsta regulējums, likmes apmērs noteikts saskaņā ar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Taisnīgas pārkārtošanās fonda finansējuma apmērs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ceturtajā un piektajā atlases kārtā projektā, kurā netiek sniegts komercdarbības atbalsts, projekta darbību rezultātā var rasties ieņēmumi (piemēram, no koksnes un šķeldas realizācijas), šo ieņēmumu uzskaitei projekta iesniedzējs nodrošina finanšu analīzes veikšanu atbilstoši sadarbības iestādes izstrādātajiem metodiskajiem norādījumiem. Pamatojoties uz finanšu analīzē norādīto neto ieņēmumu apmēru, kas tiek precizēts atbilstoši faktiskajam, ne vēlāk kā pirms pēdējā maksājuma veikšanas, tiek samazināts Taisnīgas pārkārtošanās fonda līdzfinansējuma apmērs. Pēc projekta darbību pabeigšanas, īstenojot renaturalizāciju un ūdenstilpju izveidi, kas attiecināma uz dabas aizsardzības prasību īstenošanu, ieņēmumi ik gadu projekta dzīves ciklā nepārsniedz 50 procentus no attiecīgās infrastruktūras un atjaunoto teritoriju uzturēšanas izdevumiem un tiem jābūt norādītiem finanšu analīzē.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skaidri norādīt, ka visiem projektu iesniedzējiem ir jāiesniedz finanšu analīze, ja tie plāno renaturalizāciju un ūdenstilpju izveidi un komercdarbības atbalsts netiek piešķirts. No šī brīža redakcijas varētu noprast, ka šādu dokumentu jāsagatavo tikai tad, ja ir plānotie ieņēmumi no koksnes un šķeldas. Vēršam uzmanību, ka jau sākotnējā finanšu analīzē tiks samazināta TPF likme atbilstoši prognozei un ka pie noslēguma maksājuma TPF likmi samazinās, ja faktiskie ieņēmumi pārsniegs prognozētos.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18. punkta redakcija, nosakot, ka finanšu analīze kopā ar projekta iesniegumu iesniedzama tikai gadījumos, ja projekta darbību rezultātā paredzēta neto ieņēmumu gūšana vai ja ir nepieciešams nodrošināt, ka pēc projekta darbību pabeigšanas un infrastruktūras nodošanas ekspluatācijā gūtie ieņēmumi nepārsniedz 50 procentus no izveidotās infrastruktūras un atjaunoto teritoriju uzturēšanas izmaksām, nevis visos projektos, kuros tiek īstenota renaturalizācija un ūdenstilpju izveide un netiek sniegts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ceturtajā un piektajā atlases kārtā projektā, kurā netiek sniegts komercdarbības atbalsts, projekta darbību rezultātā var rasties ieņēmumi, piemēram, no koksnes un šķeldas realizācijas. Šo ieņēmumu uzskaitei projekta iesniedzējs nodrošina finanšu analīzes sagatavošanu. Pamatojoties uz finanšu analīzē norādīto neto ieņēmumu apmēru, kas tiek precizēts atbilstoši faktiskajam, ne vēlāk kā pirms pēdējā maksājuma veikšanas, tiek samazināts Taisnīgas pārkārtošanās fonda finansējuma apmērs. Pēc projekta darbību pabeigšanas, īstenojot renaturalizāciju un ūdenstilpju izveidi, kas attiecināma uz dabas atjaunošanu prasību īstenošanu atbilstoši šo noteikumu </w:t>
            </w:r>
            <w:r w:rsidR="00000000" w:rsidRPr="00000000" w:rsidDel="00000000">
              <w:rPr>
                <w:rtl w:val="0"/>
              </w:rPr>
              <w:t xml:space="preserve">27. </w:t>
            </w:r>
            <w:r w:rsidR="00000000" w:rsidRPr="00000000" w:rsidDel="00000000">
              <w:rPr>
                <w:rtl w:val="0"/>
              </w:rPr>
              <w:t xml:space="preserve">punktam</w:t>
            </w:r>
            <w:r w:rsidR="00000000" w:rsidRPr="00000000" w:rsidDel="00000000">
              <w:rPr>
                <w:rtl w:val="0"/>
              </w:rPr>
              <w:t xml:space="preserve">, var rasties ieņēmumi, ar nosacījumu, ka ik gadu projekta dzīves ciklā tie nepārsniedz 50 procentus no attiecīgās infrastruktūras un atjaunoto teritoriju uzturēšanas izdevumiem, ja šādi ieņēmumi ir paredzēti, šo ieņēmumu uzskaitei projekta iesniedzējs nodrošina finanšu analīzes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uzņēmums šo noteikumu izpratnē atbilst regulas Nr. 651/2014 I pielikumam, lielais komersants šo noteikumu izpratnē ir komersants, kas neatbilst regulas Nr. 651/2014 I pielikumā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minēto, piemēram, noteikumu projekta 36. punktā, kur pārrakstīts </w:t>
            </w:r>
            <w:r w:rsidR="00000000" w:rsidRPr="00000000" w:rsidDel="00000000">
              <w:rPr>
                <w:i w:val="1"/>
                <w:rtl w:val="0"/>
              </w:rPr>
              <w:t xml:space="preserve">Komisijas 2014. gada 17. jūnija Regulas (ES) Nr. 651/2014, ar ko noteiktas atbalsta kategorijas atzīst par saderīgām ar iekšējo tirgu, piemērojot Līguma 107. un 108. pantu,</w:t>
            </w:r>
            <w:r w:rsidR="00000000" w:rsidRPr="00000000" w:rsidDel="00000000">
              <w:rPr>
                <w:rtl w:val="0"/>
              </w:rPr>
              <w:t xml:space="preserve"> 2. panta 24. punkts; noteikumu projekta 65.9. apakšpunktā, kur pārrakstīta tiesību norma, uz kuru minētajā vienībā ietverta atsauce, un visā noteikumu projektā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pārrakstīt Regulas normas, lūdzam tās pārrakstīt identiski un papildus skaidrot nepieciešamību veikt Regulas teksta daļu inkorporēšanu nacionālajos tiesību aktos. Vēršam uzmanību, ka, ja Regulas normas netiek precīzi pārrakstītas, pastāv atšķirīgas interpretācijas risks,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iebildumam MK noteikumu projekta 65.9. apakšpunkts un pārskatīta MK noteikumu projekta 36.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sSkaidrojam, ka lai nodrošinātu indivīda tiesības saņemt tam adresētu saskaņotu un labi uztveramu tiesību aktu,   kā arīa saskaņā ar Finanšu ministrijas kā ES fondu vadošās iestādes Komercdarbības atbalsta kontroles departamenta izstrādātajām Valsts atbalsta vadlīnijām (pieejamas: https://www.fm.gov.lv/lv/skaidrojosie-materiali) par Valsts atbalsta piemērošanu nosaka, ka, lai gan regulas ir saistošas visiem ES tiesību subjektiem un tās ir tieši piemērojamas, fakts, ka regula paredz iespējamību piešķirt komercdarbības atbalstu, nenozīmē, ka šāds atbalsts tiks sniegts un ka tas konkrētā projekta iesniegumā būs piemērojams projekta iesniedzējam, jo komercdarbības atbalstu piešķir tikai tādās jomās un tādos apmēros, kādā tas izvērtēts par nepieciešamu konkrētos pasākumos, kā piemēram, šajā 6.1.1.1. pasākuma ceturtajā un piektajā atlases kārtā un no pasākumiem izrietošajos projektu iesniegumos. Tādejādi, lai nodrošinātu skaidri saprotamus komercdarbības atbalsta nosacījumus un nodrošinātu, ka tie tiek piemēroti korekti, ņemot vērā to sarežģītību, normatīvajā aktā ir iestrādāti regulas nosacījumi, ierakstot tos normatīvajā aktā tās tieši bez interpretācijas. Noteikumu projektā netiek pārrakstītas regulas normas, bet sniegta atsauce uz konkrēto regulas punktu vai apakšpunktu, norādot potenciālajam noteikumu projekta lietotājam konkrētā regulas punkta, apakšpunkta regulējuma jomu, lai nodrošinātu MK noteikumu nepārprotamu piemērošanu, kas ir saskaņā ar regulas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komersants šo noteikumu izpratnē atbilst regulas Nr. 651/2014 I pielikumam, lielais komersants šo noteikumu izpratnē ir komersants, kas neatbilst regulas Nr. 651/2014 I pielikumā noteiktajiem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projekta iesniedzējam un sadarbības partnerim (ja attiecināms), kurš ir administratīvi sodīts saskaņā ar Meža likuma 51. pantu ceturto, sesto, astoto, 10., 11., 12., 14., 15. vai 16. daļu un sodāmība nav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44.1.apakšpunktā norādīts, ka atbalstu meža ieaudzēšanai nepiešķir projekta iesniedzējam un sadarbības partnerim (ja attiecināms), kurš ir administratīvi sodīts saskaņā ar Meža likuma 51.pantu ceturto, sesto, astoto, 10., 11., 12., 14., 15. vai 16.daļu un sodāmība nav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Viedās administrācijas un reģionālās attīstības ministrija saņems minēto informāciju par personas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un projekta anotāciju, norādot 44.1.apakšpunktā ietvertās informācijas saņemšanu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44.1. apakšpunkta papildināts, skaidrojot, ka iespēju gūt informāciju par sodāmību atbilstoši uzskaitītajiem Meža likuma punktiem Sadarbības iestāde izmanto “Soda reģistru”, pieprasot izziņu tāpat kā par citām sodāmībām, ko izvērtē kā atbilstoši ES fondu Vadošās iestādes 2025.gada 31. jūlija izstrādātajām vadlīnijām Nr. 3.1. “Eiropas Reģionālās attīstības fonda, Eiropas Sociālā fonda plus, Kohēzijas fonda un Taisnīgas pārkārtošanās fonda projektu iesniegumu atlases metodika 2021.–2027.gadam” iekļautajiem izslēgšanas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projekta iesniedzējam un sadarbības partnerim (ja attiecināms), kurš ir administratīvi sodīts saskaņā ar Meža likuma 51. pantu ceturto, sesto, astoto, 10., 11., 12., 14., 15. vai 16. daļu un sodāmība nav dzēsta. Ziņas par izdarītajiem administratīvajiem pārkāpumiem uz projekta iesniegšanas dienu, Sadarbības iestāde iegūst no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 Ja papildu </w:t>
            </w:r>
            <w:r w:rsidR="00000000" w:rsidRPr="00000000" w:rsidDel="00000000">
              <w:rPr>
                <w:i w:val="1"/>
                <w:rtl w:val="0"/>
              </w:rPr>
              <w:t xml:space="preserve">de minimis </w:t>
            </w:r>
            <w:r w:rsidR="00000000" w:rsidRPr="00000000" w:rsidDel="00000000">
              <w:rPr>
                <w:rtl w:val="0"/>
              </w:rPr>
              <w:t xml:space="preserve">atbalsts tiek piešķirts projekta īstenošanas laikā, par atbalsta piešķiršanas brīdi uzskata dienu, kad tiek parakstīti attiecīgie civiltiesiskā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53.4.apakšpunkts un 85.punkts pieļauj papildus komercdarbības atbalsta piešķiršanu atbalsta pretendentam projekta īstenošanas laikā, kas būs jauns komercdarbības atbalsts. Vienlaikus, noteikumu projekta 53.5. un 75.8.apakšpunkts nepieļauj šo noteikumu ietvaros piešķirtā atbalsta kumulāciju ar citu komercdarbības atbalstu, kas ir pretrunā noteikumu projekta 53.4.apakšpunktā un 85.punktā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projekta nav skaidrs kādām izmaksām papildus de minimis atbalsts tiks piešķirts, attiecīgi nav iespējams izvērtēt, vai netiktu pārkāpti attiecīgā komercdarbības regulējuma kumulācijas nosacījumi, ja kumulācija tomēr ir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vērē iepriekš minēto, lūdzam pārskatīt minētās normas un precizēt noteikumus, tostarp skaidri nosakot atbalsta kumulācijas iespējas, vienlaikus iekļaujot papildus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paredz neatbalstu tikai renaturalizācijai un ūdenstilpju izveidei saskaņā ar MK noteikumu projekta 27. punktu. Visām pārējām darbībām tiek piemērots komercdarbības atbalsta regulējums – mežam </w:t>
            </w:r>
            <w:r w:rsidR="00000000" w:rsidRPr="00000000" w:rsidDel="00000000">
              <w:rPr>
                <w:i w:val="1"/>
                <w:rtl w:val="0"/>
              </w:rPr>
              <w:t xml:space="preserve">de minimis</w:t>
            </w:r>
            <w:r w:rsidR="00000000" w:rsidRPr="00000000" w:rsidDel="00000000">
              <w:rPr>
                <w:rtl w:val="0"/>
              </w:rPr>
              <w:t xml:space="preserve"> (MK noteikumu projekta 52. punkts), ilggadīgajiem stādījumiem regula nr. 2022/2472 (MK noteikumu projekta 58.1. un 63. punkti) . Nevienai no darbībām un nevienam no piemērojamajiem komercdarbības atbalsta veidiem netiek pieļauta kumulācija par tām pašām attiecināmajām izmaksām ar citas atbalsta programmas komercdarbības atbalstu, kas pilnīgi viennozīmīgi norādīts gan 52.5., gan 73.8.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lai paredzētu gadījumā, ja ar saimniecisko darbību nesaistīts projekts dzīves cikla laikā kļūst par projektu, kas saistīts ar saimniecisko darbību, kuram sniegtais atbalsts būtu kvalificējams kā komercdarbības atbalsts MK noteikumu projekta 83.punkts labots paredzot iespējamu piemērot regulas Nr. 651/2014 45. panta nosacījumus, ja šī panta attiecīgās izmaksas to pieļauj, jo šim regulējumam netiek prasīta atbalsta stimulējošā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MK noteikumu projekta 84. punkts, nosakot tā attiecināmību tikai uz regulu nr. 651/2014 45. panta 2. punkta “c” un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projekta 45. punktā paredzētais atbalsts agrotehniskajai kopšanai paredz, ka meža agrotehnisko kopšanu var veikt ikgadēji līdz 2030. gada 31. decembrim, tādējādi, ja projekta iesniedzējs nav sākotnēji paredzējis projektā, bet vēlāk veic izmaiņas un papildus sākotnēji plānotājam paredz īstenot arī ieaudzētā meža agrotehnisko kopšanu un sekojoši tiek parakstīti civiltiesiskā līguma grozījumi vai vienošanās par projekta īstenošanu grozījumi, var tikt piešķirts papildus </w:t>
            </w:r>
            <w:r w:rsidR="00000000" w:rsidRPr="00000000" w:rsidDel="00000000">
              <w:rPr>
                <w:i w:val="1"/>
                <w:rtl w:val="0"/>
              </w:rPr>
              <w:t xml:space="preserve">de minimis</w:t>
            </w:r>
            <w:r w:rsidR="00000000" w:rsidRPr="00000000" w:rsidDel="00000000">
              <w:rPr>
                <w:rtl w:val="0"/>
              </w:rPr>
              <w:t xml:space="preserve"> atbalsts saskaņā ar MK noteikumu projekta 52.4. apakšpunktu, ievērojot MK noteikumu projekta 52. punkta citus apakšpunktus, kas ir saistoši, lai lemtu par jauna vai papildu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abi minētie gadījumi nav uzskatāmi par kumulāciju, jo netiek pieprasīts atbalsts no citas institūcijas vai citas atbalsta programmas nekā tās, kas sākotnēji piešķīra atbalstu un no tās pašas atbalsta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 Ja papildu </w:t>
            </w:r>
            <w:r w:rsidR="00000000" w:rsidRPr="00000000" w:rsidDel="00000000">
              <w:rPr>
                <w:i w:val="1"/>
                <w:rtl w:val="0"/>
              </w:rPr>
              <w:t xml:space="preserve">de minimis </w:t>
            </w:r>
            <w:r w:rsidR="00000000" w:rsidRPr="00000000" w:rsidDel="00000000">
              <w:rPr>
                <w:rtl w:val="0"/>
              </w:rPr>
              <w:t xml:space="preserve">atbalsts tiek piešķirts projekta īstenošanas laikā, par atbalsta piešķiršanas brīdi uzskata dienu, kad tiek parakstīti attiecīgie civiltiesiskā līguma vai vienošanās par projekta īstenošanu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saņemšanas nosacījumi, attiecināmās izmaksas un komercdarbības atbalsta regulējums ilggadīgo stādījumu un paludikultūru izveidē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2022/2472 prasībām nepieciešams palidināt noteikumu projektu attiecibā uz regulas 2022/2472 7. panta 3. punkta prasībām par pievienotās vērtības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līdzvērtīga prasība izriet arī no regulas 651/2014 7.panta 1. punkta un šīs prasības piemērošana MK noteikumu projektam ir jau ietverta VII nodaļā, kas nosaka nosacījumus visa pasākuma īstenošanai, 72.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saņemšanas nosacījumi, attiecināmās izmaksas un komercdarbības atbalsta regulējums ilggadīgo stādījumu izveidē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saņemšanas nosacījumi, attiecināmās izmaksas un komercdarbības atbalsta regulējums ilggadīgo stādījumu un paludikultūru izveidē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projektu nepieciešams papildināt vai ir paredzētās, ka piešķirtais komercdarbības atbalsts netiek vai tiek apvienots ar finansējumu no citas atbalsta programmas, kuras finansējums tiek piešķirts no vietējiem, reģionālajiem, valsts vai Eiropas Savienības finanšu līdzekļiem par tām pašām attiecināmajām izmaksām. Ja tiek tad nepiecieš papildināt noteikumu projektu atbilstoši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decembra, Nr. L 327), (turpmāk – regula 2022/2472) 8. panta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MK noteikumu projekts paredz kumulācijas aizliegumu ilggadīgo stādījumu ierīkošanai, lūdzu skatīt MK noteikumu projekta 58.3.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Atbalsta saņemšanas nosacījumi, attiecināmās izmaksas un komercdarbības atbalsta regulējums ilggadīgo stādījumu izveidē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hidrotehnisko un melioratīvo pasākumu izmaksas atbilstoša hidroloģiskā stāvokļa nodrošināšanai,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informāciju, ka noteikumu 58.3. apakšpunktā noteiktās izmaksas saistītas ar apūdeņošanas sistēmu izveidi ilggadīgo stādījumu ierīkošanas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hidrotehnisko un melioratīvo pasākumu izmaksas atbilstoša hidroloģiskā stāvokļa nodrošināšanai, tostarp: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58.7. barības vielu iegādes un izkliedes izmaksas, tostarp analīžu izmaksas augsnes, ūdens kvalitātes un biogēno elementu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2022/2472 14. pantā atbalsts paredzēts investīciju atbalstam un noteikumu projekta 58.7. apakšpunktā paredzētas izmaksas nav investīcijas, bet gan pārstās darbības izmaksas, kas nav attiecināmas zem 2022/2472 14.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MK noteikumu punkts, dzēšot barības vielu iegādes un izkliedes izmaksas kā attiecināmās izmaksas. Vienlaikus analīžu izmaksas saglabātas kā attiecināmas, jo tās ir tieši saistītas ar stādījumu ierīkošanu, nodrošinot teritorijas augsnes un ūdens kvalitātes novērtējumu, kas nepieciešams kvalitatīvu stādījumu ierīkošanai, un ir piemērojamas kā investīciju, nevis darbību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analīžu izmaksas augsnes, ūdens kvalitātes un biogēno elementu novērtēšanai;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58.9. stādījumu kopšanas, kā mulčēšana (zāģskaidas, frēzkūdra, u.c.), stādījumu ķemmēšanas un stīgu apgriešanas, krūmu veidošanas, nezāļu ierobežošanas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2022/2472 14. pantā atbalsts paredzēts investīciju atbalstam un noteikumu projekta 58.9. apakšpunktā paredzētas izmaksas nav investīcijas, bet gan pārstās darbības izmaksas, kas nav attiecināmas zem 2022/2472 14.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dzēsta attiecināmā izmaksa izveidoto ilggadīgo stādījumu kopšanai ar ko saprotama to ķemmēšana, stīgu apgriešana, krūmu veidošana un līdzvērtīgas darbības, bet joprojām paliek attiecināmas izmaksas to mulčēšanai pie stādījumu izveides.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56.9. stādījumu mulčēšana ar piemēram, zāģskaidām, frēzkūdru, u.c.;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58.10. kaitēkļu aizsardzības izmaksas, tostarp arī dabisko līdzekļu pret kaitēkļiem izmantošanas izmaksas un slimību un kaitēkļu bojāto zaru utilizācijas un izvākšanas no stādījumiem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2022/2472 14. pantā atbalsts paredzēts investīciju atbalstam un noteikumu projekta 58.10. apakšpunktā paredzētas izmaksas nav investīcijas, bet gan pārstās darbības izmaksas, kas nav attiecināmas zem 2022/2472 14.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iesniegtajam iebildumam ir MK 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ilggadīgo stādījumu izveidi īsteno mikrouzņēmumi, mazie un vidējie uzņēmumi un attiecināmas ir šo noteikumu </w:t>
            </w:r>
            <w:r w:rsidR="00000000" w:rsidRPr="00000000" w:rsidDel="00000000">
              <w:rPr>
                <w:rtl w:val="0"/>
              </w:rPr>
              <w:t xml:space="preserve">58.</w:t>
            </w:r>
            <w:r w:rsidR="00000000" w:rsidRPr="00000000" w:rsidDel="00000000">
              <w:rPr>
                <w:rtl w:val="0"/>
              </w:rPr>
              <w:t xml:space="preserve"> un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izmaksas saskaņā ar regulas Nr. 2022/2472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ievietot atsauci uz pilnu regulas nosaukumu un pēc tam turpmāk tekstā lietot regulas saīsinājumu:  “Komisijas 2022. gada 14. decembra Regula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decembra, Nr. L 327), (turpmāk – regula 2022/2472)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MK noteikumu projekts labots un pilnais regulas teksts lietots pirmo reizi to pieminot.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ilggadīgo stādījumu izveidi īsteno mikrouzņēmumi, mazie un vidējie uzņēmumi, un saskaņā ar  Komisijas 2022. gada 14. decembra Regulas (ES)  2022/2472, </w:t>
            </w:r>
            <w:r w:rsidR="00000000" w:rsidRPr="00000000" w:rsidDel="00000000">
              <w:rPr>
                <w:i w:val="1"/>
                <w:rtl w:val="0"/>
              </w:rPr>
              <w:t xml:space="preserve">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(turpmāk – regula Nr. 2022/2472) 14. panta 3.punkta "a" un "b" apakšpunktiem attiecināmas ir šo noteikumu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75.1.2. pasākuma piektajā atlases kārtā, ja finansējuma saņēmējs ir fiziska persona, sadarbības iestāde, ievērojot šo noteikumu </w:t>
            </w:r>
            <w:r w:rsidR="00000000" w:rsidRPr="00000000" w:rsidDel="00000000">
              <w:rPr>
                <w:rtl w:val="0"/>
              </w:rPr>
              <w:t xml:space="preserve">75.1.1. </w:t>
            </w:r>
            <w:r w:rsidR="00000000" w:rsidRPr="00000000" w:rsidDel="00000000">
              <w:rPr>
                <w:rtl w:val="0"/>
              </w:rPr>
              <w:t xml:space="preserve">apakšpunktā</w:t>
            </w:r>
            <w:r w:rsidR="00000000" w:rsidRPr="00000000" w:rsidDel="00000000">
              <w:rPr>
                <w:rtl w:val="0"/>
              </w:rPr>
              <w:t xml:space="preserve"> minēto normatīvo aktu un vadlīniju prasības, nodrošina komunikācijas un vizuālās identitātes pasākumu īstenošanu publicējot informāciju par projektu. Projekta iesniedzējs apliecina, ka neiebilst pret projektu raksturojošās informācijas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konkrētu brīdi, kad Sadarbības iestādei jāpublicē informācija par projektu, piemēram, līdzīgi kā 2.2.3.6. pasākumā "</w:t>
            </w:r>
            <w:r w:rsidR="00000000" w:rsidRPr="00000000" w:rsidDel="00000000">
              <w:rPr>
                <w:i w:val="1"/>
                <w:rtl w:val="0"/>
              </w:rPr>
              <w:t xml:space="preserve">Gaisa piesārņojumu mazinošu pasākumu īstenošana, uzlabojot mājsaimniecību siltumapgādes sistēmas</w:t>
            </w:r>
            <w:r w:rsidR="00000000" w:rsidRPr="00000000" w:rsidDel="00000000">
              <w:rPr>
                <w:rtl w:val="0"/>
              </w:rPr>
              <w:t xml:space="preserve">", kur informācija jāpublicē pēc projekta pabeigšanas; kā arī publicējamās informācijas apjomu (piemēram, projekta numurs, nosaukums, finansējuma saņēmējs, sākuma un beigu datums, TPF finansējums, sasniegtais mērķis vai tamlīdzīgi). Publicējamo informācijas apjomu var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papildināts atbilstoši iebildumā prasītajai informācijai. Anotācija 1.3. sadaļā papildināta nosakot publicējamās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 pasākuma piektajā atlases kārtā, ja finansējuma saņēmējs ir fiziska persona, sadarbības iestāde, ievērojot šo noteikumu </w:t>
            </w:r>
            <w:r w:rsidR="00000000" w:rsidRPr="00000000" w:rsidDel="00000000">
              <w:rPr>
                <w:rtl w:val="0"/>
              </w:rPr>
              <w:t xml:space="preserve">73.1.1. </w:t>
            </w:r>
            <w:r w:rsidR="00000000" w:rsidRPr="00000000" w:rsidDel="00000000">
              <w:rPr>
                <w:rtl w:val="0"/>
              </w:rPr>
              <w:t xml:space="preserve">apakšpunktā</w:t>
            </w:r>
            <w:r w:rsidR="00000000" w:rsidRPr="00000000" w:rsidDel="00000000">
              <w:rPr>
                <w:rtl w:val="0"/>
              </w:rPr>
              <w:t xml:space="preserve"> minēto normatīvo aktu prasības, nodrošina komunikācijas un vizuālās identitātes pasākumu īstenošanu pēc civiltiesiskā līguma par projektu īstenošanu parakstīšanas publicējot informāciju par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tiek pārkāpti regulas Nr.  651/2014, regulas Nr. 2023/2831 vai regulas Nr. 2022/2472 nosacījumi, finansējuma saņēmējam ir pienākums atmaksāt sadarbības iestādei projekta ietvaros saņemto nelikumīgo komercdarbības atbalstu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atbalsts tiks piešķirts gan finansējuma saņēmējam, gan sadarbības partnerim (ja attiecināms), lūdzam papildināt noteikumu projekta 81.punktu tā, lai skaidrs, ka nelikumīgo komercdarbības atbalstu atmaksā arī sadarbības partneris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tiek pārkāpti regulas Nr.  651/2014, regulas Nr. 2023/2831 vai regulas Nr. 2022/2472 nosacījumi, finansējuma saņēmējam un sadarbības partnerim (ja attiecināms) ir pienākums atmaksāt sadarbības iestādei projekta ietvaros saņemto nelikumīgo komercdarbības atbalstu kopā ar procentiem no līdzekļiem, kas ir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nosaka, ka atsevišķos gadījumos pie projekta ir jāpievieno finanšu analīze, kas ir daļa no projekta izmaksu un ieguvumu analīzes, taču anotācijā ir norādīts, ka tiks vērtēts izmaksu lietderīgums, ievērojot prasības, ka projekta ekonomiskā ienesīguma normai ir jābūt lielākai par sociālā diskonta likmi. Ekonomisko ienesīguma normu var aprēķināt tikai projekta sociālekonomiskās analīzes ietvaros, bet tādu nav paredzēts izstrādāt. Lūdzu salāgot anotācijas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sniegtajai informācijai labota MK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anotācijas 5. sadaļu, nodrošinot pilnīgu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norādīta nepilnīga informācija par Eiropas Savienības tiesību normu ieviešanu, piemēram, Regulas 2022/2472 14. pants ieviests noteikumu projekta 60.1. apakšpunktā, bet visa kopumā arī projekta 71. un 81. punktā un 74.1.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Eiropas Savienības tiesību akti ieviesti pilnībā, lūdzam izvērtēt visas no tām izrietošās rīcības brīvības un atbilstoši Vadlīnijām tiesību akta projekta sākotnējās ietekmes novērtēšanai un novērtējuma ziņojuma sagatavošanai Vienotajā tiesību aktu izstrādes un saskaņošanas portālā skaidrot, "Kā ir izmantota ES tiesību aktā paredzētā rīcības brīvība dalībvalstij pārņemt vai ieviest noteiktas ES tiesību akta normas? Kādēļ?";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ailē, norādot, ka prasības ir ieviestas daļēji, lūdzam sniegt ne tikai vispārīgu norādi par to, bet arī skaidrot, kad un kādā veidā tiks nodrošināta attiecīgo regulas prasību ieviešana pilnībā, un norādīt institūciju, kas atbildīga par šo prasību ieviešanu pilnībā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anotācijas 5.4. apakšsadaļā sniegta pilnīga informācija. Piemēra, vai, noteikumu projekta 78. punkts nav saistīts, piemēram, ar </w:t>
            </w:r>
            <w:r w:rsidR="00000000" w:rsidRPr="00000000" w:rsidDel="00000000">
              <w:rPr>
                <w:i w:val="1"/>
                <w:rtl w:val="0"/>
              </w:rPr>
              <w:t xml:space="preserve">Komisijas 2023. gada 13. decembra Regulas (ES) 2023/2831 par Līguma par Eiropas Savienības darbību 107. un 108. panta piemērošanu de minimis atbalstam</w:t>
            </w:r>
            <w:r w:rsidR="00000000" w:rsidRPr="00000000" w:rsidDel="00000000">
              <w:rPr>
                <w:rtl w:val="0"/>
              </w:rPr>
              <w:t xml:space="preserve"> 6. panta 3. punktu, kur noteikts, ka ""Dalībvalstis reģistrēto informāciju par de minimis atbalstu glabā 10 gadus no atbalsta piešķiršanas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identificētajiem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iebildumam 5.4.nodaļas 1.tabula papildināta norādot atsauci uz 60.1., 74.1. apakšpunktu, kā arī 71., 37.punktiem (58.1., 72.1., 69., 37. punktiem un apakšpunktiem pēc numerācijas izmaiņām). Vienlaikus 81. punkts nosaka vispārīgu regulas prasību ievērošanu, kā to paredz MK noteikumu projekts, tādēļ nav konkrētu punktu uz kuriem atsaukties atbilstoši 5.4. nodaļas 1. tabulas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iebildumā norādītā aile. Vienlaikus norādām, ka, izstrādājot ES fondu ieviešanas nosacījumus, Komercdarbības atbalsta un kontroles likuma 3. pants nenosaka pienākumu sniegt komercdarbības atbalstu, bet paredz iespēju to sniegt. Attiecīgi ES fondu atbildīgajai iestādei ir tiesības izvērtēt komercdarbības atbalsta sniegšanas nepieciešamību un šī atbalsta apmēru, lai sasniegtu konkrētā pasākuma mērķus. Vienlaikus ES fondu atbildīgā iestāde var noteikt stingrākas komercdarbības atbalsta prasības, nekā paredzēts regulā, taču tai nav tiesību noteikt liberālākas prasības. Izstrādājot komercdarbības atbalsta regulējumu nacionālajā līmenī konkrētam atbalsta pasākumam, ES fondu atbildīgā iestāde izvēlas no regulā paredzētajām iespējām atbalsta programmas mērķiem atbilstošu nozaru loku un atbalstāmās darbības, piemērojot visas prasības, kas izriet no attiecīgās atbalsta regulas nosacījumiem, vienlaikus nenosakot pienākumu pasākumā īstenot visas regulā paredzētās atbalsta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ES regulas tiek piemērotas konkrētu atbalsta pasākumu īstenošanai, un MK noteikumu projektā ir iekļauti tikai tie nosacījumi, kas ir tieši attiecināmi uz attiecīgo pasākumu, turklāt tie ir pārņemti pilnā apjomā. To apliecina atsauces uz konkrētiem regulu pantiem, to daļām un apakšpunktiem. Netiek pārņemts viss regulējuma saturs (piemēram, Regulas (ES) 2022/2472 pilns regulējums), bet tikai tās normas, no kurām tieši izriet prasības, kas ir saistošas gan nosacījumu izstrādātājam, gan atbalsta saņēmējam un projekta īstenotājam.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atbilst Finanšu ministrijas sniegtajam skaidrojumam par komercdarbības atbalsta regulējuma piemērošanu, proti, piemērojot Komisijas regulu Nr. 651/2014, kā arī Regulu (ES) 2022/2472, tiesību aktā, ar kuru tiek piešķirts komercdarbības atbalsts, ir jāietver visi attiecīgā regulējuma piemērošanai nepieciešamie nosacījumi, nevis jānodrošina pilnīgs regulas normu pārnesums.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saņemti priekšlikumi vai iebildumi no Finanšu ministrija Komercdarbības atbalsta kontroles departamenta par nepareizu regulu piemērojamību. Attiecīgi MK noteikumu projektā ietvertā pieeja atbilst noteiktajai komercdarbības atbalsta kontroles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Papildināta  “c” aile. Vienlaikus norādām, ka ņemot vērā, ka 5.4. nodaļā tiek vērtēta tiesību akta atbilstība spēkā esošajai ES regulai, netiek noteikts pienākums, sagatavojot MK noteikumu projektu, piemērot visus Regulas (ES) 2022/2472 pantus vai konkrēto pantu punktus. Minētā regula nosaka lauksaimniecības grupas atbrīvojumu komercdarbības atbalstam, proti, tā definē darbības, kuras var tikt atbalstītas, izmantojot publisko finansējumu, tādējādi ar šiem izņēmumiem radot iespēju atbalstīt saimniecisko darbību, kas bez šādas regulas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Regulas (ES) 2022/2472 14. panta 3. punkts nosaka, ka, piemērojot šo pantu investīcijām, ir jāsasniedz vismaz viens no 3. pantā uzskaitītajiem mērķiem, nevis visi tajā minētie mērķi. Attiecīgi netiek pārņemtas visas regulas minētā panta prasības, bet tikai tās, kas ir tieši attiecināmas uz konkrētā pasākuma īstenošanu, un šāda pieeja nav pretrunā ar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 aizpildīšanas prakse ir izmantota arī iepriekš, un gan iepriekš, gan arī šajā gadījumā nav saņemti komentāri par nepilnīgu aizpildīšanu no Finanšu ministrijas Komercdarbības atbalsta kontroles departamenta, kura tiešajā atbildībā ir minētās regulas prasību ievērošanas uzraudzība gadījumos, kad tās tiek piemērotas investīciju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5.4. nodaļas 1. tabula ar atsaucēm uz MK noteikumu projekta 78.punktu (76. punkts pēc numerācijas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jautājums būtu, ka noteikumu projekts  neparedz nosacījumus un risinājuma pieeju, ja atbalsta ietvaros realizēta projekta darbību rezultātā projekta īstenotājam rodas ieņēmumi, kas saistīti ar oglekļa kredītu ražošanu un realizāciju. Oglekļa kredītu ražošana rekultivētu degradēto kūdrāju platībās ir potenciāli iespējama gan šobrīd izmantojamu oglekļa kredītu standartu ietvaros, gan EP regulas 2024/3012 ar ko izveido Savienības sertifikācijas satvaru pastāvīgai oglekļa piesaistei, oglekļsaistīgai saimniekošanai un oglekļa uzkrāšanai produktos potenciāli attīstītā standarta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esošajā redakcijā MK noteikumu projekts paredz komercdarbības atbalsta regulējumu, proti nodrošina, ka projekta darbību īstenošanas laikā un pēc to pabeigšanas projekta dzīves ciklā ir iespējams gūt ieņēmumus, nenosakot ierobežojumus ne ieņēmumu apmēram, ne gūšanas laikam. Un šādi ieņēmumi cita starpā var būt arī ieņēmumi no oglekļa vai bioloģiskās daudzveidības kredītu realizācijas.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ceturto un piekto atlases kārtu īsteno līdz 2029. gada 31. decembrim, sasniedzot šādus uzraudzības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rādītājus atbilstoši Viedās administrācijas un reģionālās attīstības ministrijas 2025. gada 5. decembra elektroniskā pasta vēstulē atsūtītajam rādītāju </w:t>
            </w:r>
            <w:r w:rsidR="00000000" w:rsidRPr="00000000" w:rsidDel="00000000">
              <w:rPr>
                <w:i w:val="1"/>
                <w:rtl w:val="0"/>
              </w:rPr>
              <w:t xml:space="preserve">Excel </w:t>
            </w:r>
            <w:r w:rsidR="00000000" w:rsidRPr="00000000" w:rsidDel="00000000">
              <w:rPr>
                <w:rtl w:val="0"/>
              </w:rPr>
              <w:t xml:space="preserve">dokumentam, kā arī salāgot to ar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iznākuma rādītāji ir savstarpēji līdzsvaroti starp atlases kārtām un sasniedzami pieejamā finansējuma ietvaros un papildināt anotāciju ar skaidrojošo informāciju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vērtības gan MK noteikumu projektā, gan Anotācijā labotas atbilstoši rādītāju Excel dokumentā norādītajām.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Vēsturiskās kūdras ieguves vietas ir noteiktas Kūdras ilgtspējīgas izmantošanas pamatnostādņu 2020.–2030. gadam 3. pielikumā, saskaņā ar kuru pašvaldībām pieder tikai 3 % no teritorijām, savukārt privātpersonām – 44 %. Attiecīgi rādītāja vērtību proporcionalitāte ir noteikta atbilstoši minētajām pamatnostādnēm. Savukārt rādītāja vērtības ir pamatotas arī ar 6.1.1.1. pasākuma pirmās atlases kārtas ietvaros veikto vēsturisko kūdras ieguves vietu inventarizāciju, kuras laikā identificētas degradētās vēsturiskās kūdras ieguves vietas, kurās nepieciešama atjaunošana gan pašvaldību, gan privātpersonu īpašumā esošajās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ceturto un piekto atlases kārtu īsteno līdz 2030. gada 31. decembrim, sasniedzot šādus uzraudzības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zaļo publisko iepirkumu, lai veicinātu Eiropas Zaļā kursa un klimata pārmaiņu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Finanšu ministrijas virzīto informatīvo ziņojumu “Par darba grupas publiskā iepirkuma efektivitātes palielināšanai rezultātiem un priekšlikumiem tālākai publisko iepirkumu sistēmas attīstībai”, kas tika izskatīts un pieņemts Ministru kabineta 2025. gada 26. augusta sēdē, ir paredzēti grozījumi Publisko iepirkumu likumā, izslēdzot 1. panta 34. punktu par zaļā publiskā iepirkuma definīciju un 19. pantu par zaļo publisko iepirkumu. Līdz ar minētajiem grozījumiem paredzēts atcelt arī Ministru kabineta noteikumus Nr. 353 “Prasības zaļajam publiskajam iepirkumam un to piemērošanas kārtība” (turpmāk – MKN Nr. 353).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tiek pamatoti ar to, ka MKN Nr. 353 pašreizējais detalizētais un administratīvi smagais regulējums nespēj sasniegt izvirzītos mērķus un atsevišķos gadījumos pat ierobežo pasūtītāju iespējas izvēlēties piemērotākos un mūsdienīgākos ilgtspējas risinājumus. Attiecīgi arī šis MK noteikumu projekts neparedz prasību projektu iesniedzējiem atsevišķi izvērtēt zaļā publiskā iepirkuma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noteikumu projekta īstenošana kopumā veicinās gan Eiropas Zaļā kursa mērķu sasniegšanu, gan klimata pārmaiņu mazināšanas pasākumu īstenošanu. Ņemot vērā iepriekš rakstīto un to, ka noteikumu projekts, visticamāk, stāsies spēkā šajā gadā, iespējams, vienlaikus ar iepriekš minētajiem grozījumiem Publisko iepirkumu likumā un no tiem izrietošo MKN Nr. 353 atcelšanu, prasība par zaļo publisko iepirkumu vairs nebūs tieši piemērojama.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ceturtās un piektās atlases kārtas ietvaros atbalstāma ir šādu darbību veikšana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minētajās teritorijās saskaņā ar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minētajām revitalizācijas stratēģijām vai atzinumiem, kas tiek segtas saskaņā ar atbildīgās iestādes apstiprināto un vadošās iestādes saskaņoto vienas vienības izmaksu likmju aprēķina un piemērošanas metodiku (turpmāk -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22. punktā minēta vienas vienības izmaksu likmju aprēķina un piemērošanas metodika ir tā pati metodika, kas minēta pārejos noteikumu projekta punktos - 22.5. apakšpunktā, 26., 40., 42., 48., 51., 53. un 76. punktā. Ja metodikas ir vairākas, lūdzam atbilstoši precizēt, lai viennozīmīgi būtu skaidrs, ka runa ir par vairākām metodikām. Vienlaicīgi lūdzam sniegt informāciju kādā izstrādes stadijā šobrīd ir šī metodika un kādos termiņos to plānots saskaņot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metodika ir tā pati, kas saīsināta MK noteikumu 22. punktā (pēc numerācijas izmaiņām 23.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metodika šobrīd vēl tiek izstrādā un pēc iespējas visdrīzākā laikā tiks nosūtīta izskatīšanai un saskaņošanai vadošajai iestādei 2026 gada 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ceturtās un piektās atlases kārtas ietvaros atbalstāma ir šādu darbību veikšana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minētajās teritorijās saskaņā ar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minētajām revitalizācijas stratēģijām vai atzinumiem, kas tiek atbalstītas saskaņā ar atbildīgās iestādes apstiprināto un vadošās iestādes saskaņoto vienas vienības izmaksu likmju aprēķina un piemērošanas metodiku (turpmāk - metodika):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meža ieaudzēšanai nepieciešamās ūdens līmeņa regulācijas (meliorācijas) sistēmas izbūve, atjaunošana vai pārbūve;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izvairoties no sinonīmu lietošanas, piemēram "ūdens līmeņa regulācijas (meliorācijas)". Norādām, ka atbilstoši juridiskās tehnikas prasībām normatīvajā aktā nelieto sinonīmus, vienu lietu konsekventi sauc vienā un tajā pašā vārdā un sinonīma lietošana iekavās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nodrošināšanai, iekavu vietā lietots komats. Vienlaikus skaidrojam, ka termini “ūdens līmeņa regulācija” un “meliorācija” nav sinonīmi. Vienlaikus izmantotā redakcija norāda uz to, ka projekta ietvaros ir iespējams īstenot ūdens līmeņa regulācijas pasākumus, tostarp meliorācijas darbus. Lai gan minētie termini nav identiski, praksē tie var tikt kļūdaini uztverti kā antonīmi vai savstarpēji izslēdzoši jēdzieni. Tādēļ, lai uzsvērtu, ka šī MK noteikumu projekta ietvaros ūdens līmeņa regulācija ietver arī meliorācijas elementus, termins “meliorācija” lietots caur saikli tostarp.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meža ieaudzēšanai nepieciešamās ūdens līmeņa regulācijas, tostarp meliorācijas sistēmas izbūve, atjaunošana vai pārbūve;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ilggadīgo stādījumu un to audzēšanai nepieciešamās infrastruktūras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23.1. apakšpunkta atbilstību 2. punktā noteiktajam, no kā attiecībā uz piektās atlases kārtu izriet ne tikai ilggadīgo stādījumu, bet arī paludikultūras stādījumu izveide, kas nav definēta pie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VI nodaļas nosaukums dzēšot atsauci uz paludikultūrām, jo tās ir ilggadīgie stādījumi.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ilggadīgo stādījumu ierīkošanai un tai nepieciešamās infrastruktūras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ceturtās un piektās atlases kārtas ietvaros ir atbalstāma renaturalizācija un ūdenstilpju izveide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minētajās teritorijās un atbilstoši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ietvertajiem nosacījumiem par revitalizācijas stratēģijām vai atzinumiem, kuros iekļauti norādījumi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25. punktu, ņemot vērā, ka jau 22. punktā noteikts, ka ceturtās un piektās atlases kārtas ietvaros ir atbalstāma renaturalizācija un ūdenstilpju izveide noteikumu projekta 3. punkta minētajās teritorijās saskaņā ar 17.5.  apakšpunktā minētajām revitalizācijas stratēģijām vai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22., 40. un, piemēram, 76. punktā noteikts, ka atbalstāmo darbību attiecināmās izmaksas nosaka saskaņā ar metodiku u.tml. Iesakām nedublēt noteikumu projekta saturu, lai tiesību normu adresātam nodrošinātu vienkārši, skaidri un nepārprotami uztveramu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dzēsti MK noteikumu projekta punkti (25., 39. un 56. punkti - pirms numerācijas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dzēsts 40. punkts (39. punkts pēc numerācijas izmaiņām), jo tas nosaka attiecināmās izmaksas nevis atbalstāmās darbības un tādēļ nedublē atbalstāmās darbības, kas minētas MK noteikumu 23.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ceturtajā un piektajā atlases kārtā, īstenojot renaturalizāciju un ūdenstilpju izveidi, atbalstāmo darbību attiecināmās izmaksas nosaka un izmaksā saskaņā ar atbildīgās iestādes apstiprināto un vadošās iestādes saskaņoto metodiku, piemērojot vienkāršoto izmaksu iespējas par vienas vienības izmaksu likmēm atbilstoši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53. panta 1. punkta "b", “d” un “e”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ja nepieciešams precizēt, noteikumu projekta 26. punktu, ņemot vērā, ka jau noteikumu projekta 22. punktā noteikts, ka ceturtajā un piektajā atlases kārtā, īstenojot renaturalizāciju un ūdenstilpju izveidi, atbalstāmo darbību sedz saskaņā ar atbildīgās iestādes apstiprināto un vadošās iestādes saskaņoto vienas vienības izmaksu likmju aprēķina un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arī uz to, ka </w:t>
            </w:r>
            <w:r w:rsidR="00000000" w:rsidRPr="00000000" w:rsidDel="00000000">
              <w:rPr>
                <w:i w:val="1"/>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53. panta 1. punkts nosaka dotāciju veidus, ko dalībvalstis piešķir saņēmējiem, no kuriem viens ir vienības izmaksa, nevis nosacījumus atbilstoši kuriem piemēro vienkāršoto izmaksu iespējas par vienas vienības izmaksu likmēm, kā tas saprotams no projekta redakcijas. Līdzīgi iesakām pārskatīt un, ja nepieciešams, precizēt arī noteikumu projekta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26. punkts atstāts nemainīgs, jo gatavojot ES fondu nosacījumus ir jānosaka gan atbalstāmās darbības, gan attiecināmās izmaksas, šo darbību veikšanai, sekojoši MK noteikumu projekta 22. punkts nosaka kādas ir atbalstāmās darbības un MKN 26. punkts skaidro, ka attiecināmās izmaksas netiek noteiktas, jo tās nosaka un izmaksā saskaņā ar metodiku. , jo Ttas skaidro, kas nosaka attiecināmās izmaksas, pretēji MK noteikumu projekta 22. punktam, kurā ir uzskaitītas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atsauce uz regulas Nr. 2021/1060 53. panta 1. punktu noteikta, lai skaidrotu attiecināmo izmaksu jeb dotācijas veidu, kas tiek piešķirts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ceturtajā un piektajā atlases kārtā, īstenojot renaturalizāciju un ūdenstilpju izveidi, atbalstāmo darbību attiecināmās izmaksas nosaka un izmaksā saskaņā ar metodiku, piemērojot vienkāršoto izmaksu iespējas par vienas vienības izmaksu likmēm atbilstoši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53. panta 1. punkta "b", “d” un “e”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iesniedzējs un sadarbības partneris (ja attiecināms) ir norādījis, ka projekta īstenošanas teritorijā paredzēts atjaunot purvu un/vai izveidot ūdenstilpju ekosistēmu un projekta dzīves cikla laikā netiks īstenota saimnieciskā darbība, un projekta ietvaros ir sniedzis atbilstošu apliecinājumu, kurā norādīts, ka projekta noslēgumā tiks saņemts sertificēta dabas eksperta (sugu un biotopu) purvu jomā atzinums par renaturalizētās teritorijas un ūdenstilpes atjaunošanā īstenoto darbību atbilstību purviem vai putniem nozīmīgu ūdenstilpju atbilstību, tad netiek piemērots komercdarbības atbalsta kontroles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izvairīties no skaidrojuma sniegšanas iekavās un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attiecināms” atstāts iekavās, lai skaidri noteiktu, ka attiecināmība noteikta tikai uz sadarbības partneri nevis abiem subjektiem kopā. Turklāt VARAM izstrādātajos normatīvo aktu projektos vairāku ES fondu plānošanas periodu laikā  izmantotā pieraksta forma “ja attiecināms” iekavās nav izraisījusi  neskaidrības par tiesību normas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iesniedzējs un sadarbības partneris (ja attiecināms) ir norādījis, ka projekta īstenošanas teritorijā paredzēts atjaunot purvu un/vai izveidot ūdenstilpju ekosistēmu un projekta dzīves cikla laikā netiks īstenota saimnieciskā darbība, ņemot vērā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nosacījumus, un projekta ietvaros ir sniedzis atbilstošu apliecinājumu, kurā norādīts, ka projekta noslēgumā tiks saņemts eksperta purvu jomā vai sertificēta dabas eksperta atzinums par renaturalizētās teritorijas un ūdenstilpes atjaunošanā īstenoto darbību atbilstību purviem vai putniem nozīmīgu ūdenstilpju atbilstību, tad netiek piemērots komercdarbības atbalsta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iesniedzējs un sadarbības partneris (ja attiecināms) ir norādījis, ka projekta īstenošanas teritorijā paredzēts atjaunot purvu un/vai izveidot ūdenstilpju ekosistēmu un projekta dzīves cikla laikā netiks īstenota saimnieciskā darbība, un projekta ietvaros ir sniedzis atbilstošu apliecinājumu, kurā norādīts, ka projekta noslēgumā tiks saņemts sertificēta dabas eksperta (sugu un biotopu) purvu jomā atzinums par renaturalizētās teritorijas un ūdenstilpes atjaunošanā īstenoto darbību atbilstību purviem vai putniem nozīmīgu ūdenstilpju atbilstību, tad netiek piemērots komercdarbības atbalsta kontroles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formulējuma "un/vai" lietojumu.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lietojams saiklis „un” vai saiklis „vai”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simbolu „/” saprotams gan saiklis „un”, gan saiklis „vai”. Attiecīgi, lietojot simbolu "/" nav skaidrs, kurš saiklis ar to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saikļu “un” un “vai” lietojums. Vienlaicīgi skaidrojam, ka MK noteikumu projekts paredz, ka vienā projektā var tikt īstenota gan ūdenstilpju izveide, gan renaturalizācija, ar ko saprotams, ka vēsturiskajā kūdras ieguves teritorijā var tikt īstenoti abi vai tikai viens atkarībā no projekta iesniedzēja un pašas teritorijas apstākļiem, tādēļ, lai aptvertu visas iespējamās situācijas, ir lietots gan simbols “/” gan “un”, gan “vai” saiklis.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projekta iesniedzējs un sadarbības partneris (ja attiecināms) ir norādījis, ka projekta īstenošanas teritorijā paredzēts atjaunot purvu un/vai izveidot ūdenstilpju ekosistēmu un projekta dzīves cikla laikā netiks īstenota saimnieciskā darbība, ņemot vērā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nosacījumus, un projekta ietvaros ir sniedzis atbilstošu apliecinājumu, kurā norādīts, ka projekta noslēgumā tiks saņemts eksperta purvu jomā vai sertificēta dabas eksperta atzinums par renaturalizētās teritorijas un ūdenstilpes atjaunošanā īstenoto darbību atbilstību purviem vai putniem nozīmīgu ūdenstilpju atbilstību, tad netiek piemērots komercdarbības atbalsta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ceturtās un piektās kārtas ietvaros, īstenojot renaturalizāciju, finansējuma saņēmējam un sadarbības partnerim (ja attiecināms), lai saņemtu izmaksu par renaturalizēto teritoriju, sadarbības iestādē iesniedz eksperta purva jomā vai sertificēta dabas eksperta (sugu un biotopu) atzinumus par īstenoto renaturalizācijas darbību atbilstību ekosistēmas turpmākai attīstībai un kvalitātes nodrošināšanai, kurā jānorāda informācija par renaturalizācijas platību un par to, vai ir atjaunota augstā vai zemā purvu ekosistēma.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29. punktu, kontekstā ar 27. punktā noteikto. Pamatojoties uz  27. punktu, projekta iesniedzējs apliecina, ka projekta noslēgumā tiks saņemts sertificēta dabas eksperta (sugu un biotopu) purvu jomā atzinums par renaturalizētās teritorijas un ūdenstilpes atjaunošanā īstenoto darbību atbilstību purviem vai putniem nozīmīgu ūdenstilpju atbilstību. Savukārt no 29. punkta saprotams, ka projekta noslēgumā tiek iesniegts </w:t>
            </w:r>
            <w:r w:rsidR="00000000" w:rsidRPr="00000000" w:rsidDel="00000000">
              <w:rPr>
                <w:u w:val="single"/>
                <w:rtl w:val="0"/>
              </w:rPr>
              <w:t xml:space="preserve">eksperta purva jomā vai </w:t>
            </w:r>
            <w:r w:rsidR="00000000" w:rsidRPr="00000000" w:rsidDel="00000000">
              <w:rPr>
                <w:rtl w:val="0"/>
              </w:rPr>
              <w:t xml:space="preserve">sertificēta dabas eksperta (sugu un biotopu) atzinumus par īstenoto renaturalizācijas darbību atbilstību ekosistēmas turpmākai attīstībai un kvalitātes nodrošināšanai, kurā jānorāda informācija par renaturalizācijas platību un par to, vai ir atjaunota augstā vai zemā purvu ekosistēma. Attiecīgi, lūdzam izvērtēt, vai korekti noteikti nepieciešamie atzinumi un nav nepieciešams salāgot punktu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salāgots atbilstoši priekšlikumam, labojumi veikti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ceturtās un piektās kārtas ietvaros, īstenojot renaturalizāciju, finansējuma saņēmējs un sadarbības partneris (ja attiecināms), lai saņemtu izmaksu par renaturalizēto teritoriju, sadarbības iestādē iesniedz eksperta purva jomā vai sertificēta dabas eksperta atzinumu par īstenoto renaturalizācijas darbību atbilstību ekosistēmas turpmākai attīstībai un kvalitātes nodrošināšanai, kurā jānorāda informācija par renaturalizācijas platību un par to, vai ir atjaunota augstā vai zemā purvu ekosistēma.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uzņēmums šo noteikumu izpratnē atbilst regulas Nr. 651/2014 I pielikumam, lielais komersants šo noteikumu izpratnē ir komersants, kas neatbilst regulas Nr. 651/2014 I pielikumā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36. punktu, attiecībā uz atsauci "mazais un vidējais uzņēmums" lietojot analoģisku formulējumu atsaucei uz "lielo komersantu".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komersants šo noteikumu izpratnē atbilst regulas Nr. 651/2014 I pielikumam, lielais komersants šo noteikumu izpratnē ir komersants, kas neatbilst regulas Nr. 651/2014 I pielikumā noteiktajiem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saņemšanas nosacījumi un komercdarbības atbalsta regulējums, īstenojot meža ieaudzēšanu, meža ūdens līmeņa regulācijas (meliorācijas) sistēmas izveidi, atjaunošanu vai pārbūvi un ieaudzētā meža agrotehnisko kopšanu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konsekventus, nemainīgus formulējumus. Piemēram, no noteikumu projekta 22. punkra izriet atbalstāmā darbība "ūdens līmeņa regulācijas (meliorācijas) sistēmas </w:t>
            </w:r>
            <w:r w:rsidR="00000000" w:rsidRPr="00000000" w:rsidDel="00000000">
              <w:rPr>
                <w:u w:val="single"/>
                <w:rtl w:val="0"/>
              </w:rPr>
              <w:t xml:space="preserve">izbūve</w:t>
            </w:r>
            <w:r w:rsidR="00000000" w:rsidRPr="00000000" w:rsidDel="00000000">
              <w:rPr>
                <w:rtl w:val="0"/>
              </w:rPr>
              <w:t xml:space="preserve">, atjaunošana vai pārbūve" nevis "ūdens līmeņa regulācijas (meliorācijas) sistēmas </w:t>
            </w:r>
            <w:r w:rsidR="00000000" w:rsidRPr="00000000" w:rsidDel="00000000">
              <w:rPr>
                <w:u w:val="single"/>
                <w:rtl w:val="0"/>
              </w:rPr>
              <w:t xml:space="preserve">izveide</w:t>
            </w:r>
            <w:r w:rsidR="00000000" w:rsidRPr="00000000" w:rsidDel="00000000">
              <w:rPr>
                <w:rtl w:val="0"/>
              </w:rPr>
              <w:t xml:space="preserve">, atjaunošana vai pārbūve"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nosaukumā bija redakcionāla rakstura terminoloģijas nekonsekvence, kas ir novērsta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saņemšanas nosacījumi un komercdarbības atbalsta regulējums, īstenojot meža ieaudzēšanu, meža ūdens līmeņa regulācijas, tostarp meliorācijas sistēmas izbūvi, atjaunošanu vai pārbūvi un ieaudzētā meža agrotehnisko kopšanu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ceturtās un piektās atlases kārtas ietvaros ir atbalstāma meža ieaudzēšana atbilstoši normatīvajiem aktiem par meža ieaudzēšanu un ieaudzētā meža agrotehniskā kopšana, kā arī meža ieaudzēšanai nepieciešamās meža ūdens līmeņa regulācijas (meliorācijas) sistēmas izbūve, atjaunošana vai pārbūve,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minētajās teritorijās un saskaņā ar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ietvertajiem nosacījumiem par revitalizācijas stratēģijām vai atzinumiem, kuros iekļauti norādījumi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nodrošināt precīzas, nepārprotamas atsauces uz normatīvajiem aktiem vai to jomu. Piemēram, ir spēkā esoši Ministru kabineta 2012. gada 2. maija noteikumi Nr. 308 "Meža atjaunošanas, meža ieaudzēšanas un plantāciju meža noteikumi" nevis noteikumi par meža ieaudzēšanu vai Ministru kabineta 2006. gada 20. jūnija noteikumi Nr. 496 "Nekustamā īpašuma lietošanas mērķu klasifikācija un nekustamā īpašuma lietošanas mērķu noteikšanas un maiņas kārtība" nevis projekta 75.10. apakšpunktā minētie "</w:t>
            </w:r>
            <w:r w:rsidR="00000000" w:rsidRPr="00000000" w:rsidDel="00000000">
              <w:rPr>
                <w:i w:val="1"/>
                <w:rtl w:val="0"/>
              </w:rPr>
              <w:t xml:space="preserve">normatīvie akti par nekustamā īpašuma lietošanas mērķu noteikšanu un lietojuma veida maiņu</w:t>
            </w:r>
            <w:r w:rsidR="00000000" w:rsidRPr="00000000" w:rsidDel="00000000">
              <w:rPr>
                <w:rtl w:val="0"/>
              </w:rPr>
              <w:t xml:space="preserv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normatīvo aktu regulējumu labotas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Pasākuma ceturtās un piektās atlases kārtas ietvaros meža ieaudzēšana, meža ūdens līmeņa regulācijas (meliorācijas) sistēmas izbūve, atjaunošana un ieaudzētā meža agrotehniskā kopšana kvalificējas kā komercdarbības atbalsts saimnieciskās darbības veicējiem un tas tiek sniegts saskaņā ar Komisijas 2023. gada 13. decembra Regulu (ES) Nr. 2023/2831 </w:t>
            </w:r>
            <w:r w:rsidR="00000000" w:rsidRPr="00000000" w:rsidDel="00000000">
              <w:rPr>
                <w:i w:val="1"/>
                <w:rtl w:val="0"/>
              </w:rPr>
              <w:t xml:space="preserve">par Līguma par Eiropas Savienības darbību 107. un 108. panta piemērošanu</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tekstā un anotācijā atsauces uz Eiropas Savienības tiesību aktiem ir precīzas un korekti noformētas, piemēram, nevis "Komisijas 2023. gada 13. decembra Regulu (ES) Nr. 2023/2831 par Līguma par Eiropas Savienības darbību 107. un 108. panta piemērošanu de minimis", bet "Komisijas 2023. gada 13. decembra Regulu (ES) 2023/2831 par Līguma par Eiropas Savienības darbību 107. un 108. panta piemērošanu de minimis </w:t>
            </w:r>
            <w:r w:rsidR="00000000" w:rsidRPr="00000000" w:rsidDel="00000000">
              <w:rPr>
                <w:u w:val="single"/>
                <w:rtl w:val="0"/>
              </w:rPr>
              <w:t xml:space="preserve">atbalstam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nevis, piemēram, "Direktīva 2000/60/EK un Direktīva 2007/60/EK". Tāpat, saskaņā ar Līguma par Eiropas Savienības darbību 288. pantu „direktīvas tām dalībvalstīm, kurām tās adresētas, uzliek saistības attiecībā uz sasniedzamo rezultātu, bet ļauj šo valstu varasiestādēm noteikt to sasniegšanas formas un metodes”. Atšķirībā no regulām, direktīvas nav tieši piemērojams tiesību akts. Direktīvās tiek noteikts sasniedzamais mērķis. Dalībvalstīm ir uzdevums savlaicīgi iestrādāt direktīvu nosacījumus nacionālajos normatīvajos aktos to mērķa sasniegšanai. Proti, direktīvas ir saistošas dalībvalstīm. Savukārt dalībvalstu fiziskajām un juridiskajām personām direktīvās iekļautie nosacījumi kļūst par saistošiem tikai ar brīdi, kad pārņemti nacionālajos normatīvajos aktos. Pašreizējais apraksts veidots tā, ka saprotams, ka direktīva, pati par sevi nosaka konkrētus noteikumus. Proti, lūdzam norādīt arī nacionālos tiesību aktus, kas nodrošina skaidroto direktīvas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Pārskatītas atsauces uz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atsauce uz direktīvu anotācijā dzēsta.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Pasākuma ceturtās un piektās atlases kārtas ietvaros meža ieaudzēšana, meža ūdens līmeņa regulācijas, tostarp meliorācijas sistēmas izbūve, atjaunošana vai pārbūve un ieaudzētā meža agrotehniskā kopšana kvalificējas kā komercdarbības atbalsts saimnieciskās darbības veicējiem un tas tiek sniegts saskaņā ar Komisijas 2023. gada 13. decembra Regulu (ES) Nr. 2023/2831 </w:t>
            </w:r>
            <w:r w:rsidR="00000000" w:rsidRPr="00000000" w:rsidDel="00000000">
              <w:rPr>
                <w:i w:val="1"/>
                <w:rtl w:val="0"/>
              </w:rPr>
              <w:t xml:space="preserve">par Līguma par Eiropas Savienības darbību 107. un 108. panta piemērošanu</w:t>
            </w:r>
            <w:r w:rsidR="00000000" w:rsidRPr="00000000" w:rsidDel="00000000">
              <w:rPr>
                <w:rtl w:val="0"/>
              </w:rPr>
              <w:t xml:space="preserve"> </w:t>
            </w:r>
            <w:r w:rsidR="00000000" w:rsidRPr="00000000" w:rsidDel="00000000">
              <w:rPr>
                <w:i w:val="1"/>
                <w:rtl w:val="0"/>
              </w:rPr>
              <w:t xml:space="preserve">de minimis atbalstam</w:t>
            </w:r>
            <w:r w:rsidR="00000000" w:rsidRPr="00000000" w:rsidDel="00000000">
              <w:rPr>
                <w:rtl w:val="0"/>
              </w:rPr>
              <w:t xml:space="preserve">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neveido monoaudzes lielākas par diviem hektāriem. Ja ieaudzētā monoaudzes platība ir lielāka par diviem hektāriem, tad veido dažādu koku sugu piemistrojumu. Mežaudžu ieaudzēšanai izmanto tās koku sugas, kuras normatīvajiem aktos par meža ieaudzēšanu ir noteiktas kā izmantojamas meža ieaudzēšanai;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Pecizēju, jo normatīvos nav jēdziena "monoaudze" - bet ir "tīraudze"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punktu izteikt: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neveido </w:t>
            </w:r>
            <w:r w:rsidR="00000000" w:rsidRPr="00000000" w:rsidDel="00000000">
              <w:rPr>
                <w:i w:val="1"/>
                <w:rtl w:val="0"/>
              </w:rPr>
              <w:t xml:space="preserve">monoaudzes</w:t>
            </w:r>
            <w:r w:rsidR="00000000" w:rsidRPr="00000000" w:rsidDel="00000000">
              <w:rPr>
                <w:rtl w:val="0"/>
              </w:rPr>
              <w:t xml:space="preserve"> tīraudzes, izņemot priežu tīraudzes, lielākas par diviem hektāriem. Ja ieaudzētā </w:t>
            </w:r>
            <w:r w:rsidR="00000000" w:rsidRPr="00000000" w:rsidDel="00000000">
              <w:rPr>
                <w:i w:val="1"/>
                <w:rtl w:val="0"/>
              </w:rPr>
              <w:t xml:space="preserve">monoaudzes</w:t>
            </w:r>
            <w:r w:rsidR="00000000" w:rsidRPr="00000000" w:rsidDel="00000000">
              <w:rPr>
                <w:rtl w:val="0"/>
              </w:rPr>
              <w:t xml:space="preserve"> tīraudzes platība ir lielāka par diviem hektāriem, tad veido dažādu koku sugu piemistrojumu. Piemistrojumiem grupās maksimālā vienlaidu platība nepārsniedz 0,2 hektārus;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 gan MK noteikumu projekts, gan anotācija .Vienlaikus MK noteikumu projektā atstāts termins tīraudzes, bet anotācijā skaidrots ar sinonīmu monoaudze.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neveido tīraudzes lielākas par diviem hektāriem. Ja ieaudzētā tīraudzes platība ir lielāka par diviem hektāriem, tad veido dažādu koku sugu piemistrojumu ar grupveida stādījumiem. Mežaudžu ieaudzēšanai izmanto tās koku sugas, kuras normatīvajiem aktos par meža ieaudzēšanu ir noteiktas kā izmantojamas meža ieaudzēšanai;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nodrošina, ka tiek ievēroti aizsargjoslu likumā ietvertie ierobežojumi, kas var tikt attiecināti uz īstenošanas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projektā ietvertos nosacījumus par pienākumu ievērot normatīvo aktu prasības, ņemot vērā, ka likums u.c. ārējie normatīvie akti personai ir jāievēro neatkarīgi no tā, vai šāda norāde ir vai nav ietverta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projekta iesniedzējam un sadarbības partnerim (ja attiecināms), kurš ir administratīvi sodīts saskaņā ar Meža likuma 51. pantu ceturto, sesto, astoto, 10., 11., 12., 14., 15. vai 16. daļu un sodāmība nav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sniedzot skaidrojumu par pārbaudes kārtību – kā un kad (piemēram, uz projekta iesniegšanas dienu) tiek veikta sodāmības pārbaude un kompetento iestādi – pie kuras iestādes sadarbības iestādei jāvēršas, lai pārliecinātos, ka projekta iesniedzējs un sadarbības partneris nav administratīvi sodīts saskaņā ar Meža likuma 51. pantu 4., 6., 8., 10.–12., 14.–16.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44.1. apakšpunkts papildināts un precizēts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projekta iesniedzējam un sadarbības partnerim (ja attiecināms), kurš ir administratīvi sodīts saskaņā ar Meža likuma 51. pantu ceturto, sesto, astoto, 10., 11., 12., 14., 15. vai 16. daļu un sodāmība nav dzēsta. Ziņas par izdarītajiem administratīvajiem pārkāpumiem uz projekta iesniegšanas dienu, Sadarbības iestāde iegūst no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izmaksu veic ne biežāk kā vienu reizi kalendārajā gadā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40. punktu un 45.1. apakšpunktu, ņemot vērā, ka, atbilstoši noteikumu projekta 40. punktam, attiecināmās izmaksas </w:t>
            </w:r>
            <w:r w:rsidR="00000000" w:rsidRPr="00000000" w:rsidDel="00000000">
              <w:rPr>
                <w:u w:val="single"/>
                <w:rtl w:val="0"/>
              </w:rPr>
              <w:t xml:space="preserve">izmaksā saskaņā ar metodiku</w:t>
            </w:r>
            <w:r w:rsidR="00000000" w:rsidRPr="00000000" w:rsidDel="00000000">
              <w:rPr>
                <w:rtl w:val="0"/>
              </w:rPr>
              <w:t xml:space="preserve">, bet 45.1. apakšpunktā papildus tiek noteikts, ka izmaksas izmaksā viekārši reizi kalendārajā gadā līdz 2029. gada 31. decembrim. Proti, nav skaidrs, vai starp vienībām nepastāv neatbilstības un tās ir vienkārši savstarpēji papildinošas.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40. punkts nosaka, ka meža ieaudzēšanas, meža ūdens līmeņa regulācijas (meliorācijas) sistēmu izbūves, pārbūves un atjaunošanas, kā arī agrotehniskās kopšanas izmaksas tiek noteiktas saskaņā ar metodiku, kas ir pamatoti un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MK noteikumu projekta 45. punkta apakšpunktos ir noteiktas prasības un nosacījumi, kas attiecināmi tikai uz ieaudzētā meža agrotehnisko kopšanu. Šie nosacījumi, kas vienlaikus ir atbilstoši metodikai, paredz, ka izmaksu atbalsts meža agrotehniskajai kopšanai var tikt saņemts atkārtoti ikgadēji, kā noteikts 45.1. apakšpunktā, ar nosacījumu, ka šāds atbalsts ir paredzēts projekta iesniegumā saskaņā ar 45.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izmaksu veic ne biežāk kā vienu reizi kalendārajā gadā līdz 2030.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stādāmā materiāla izcelsmi un piegādi apliecinošu dokumentu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"piegādi" jāaizvieto ar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stādāmā materiāla izcelsmi un iegādi apliecinošu dokumentu kopiju;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ieaudzētā meža platības skici. Vienā skicē iekļauj vienas darbības īstenošanas teritorijas grafisko attēlu ar piesaisti stigai, trasei, robežzīmei, grāvim, izcirtuma malai mērogā 1: 2000, 1 : 5000 vai 1 : 10 000. Piesaisti nenorāda, ja vismaz vienai no platību ārējām robežām (virsotnēm) ir norādītas koordinātas LKS-92 koordinātu sistēmā, skice var būt zīmēta Valsts meža dienesta ģeogrāfiskajā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lieks, jo skice jāiesniedz IT sistēmā - Meža valsts reģistrā un minētais nosacījumu uzskaitījums ir lieks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jādzēš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dzēsta sīkāka informācija par skici, tomēr atstāts pats punkts par skices nepieciešamību, lai nodrošinātu projektu iesniedzēju un finansējuma saņēmēju informētību par šādas skices nepieciešamību, pat jā tā tiek izstrādāta un iesniegta Valsts meža dienesta Meža valsts reģistrācijas ģeogrāfiskās informācijas sistēmā un papildus darbības nav jāveic.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ieaudzētā meža platības skici;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pārbauda ieaudzētās mežaudzes;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Pārbauda ieaudzētās vai agrotehniski koptās mežaudzes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pārbauda ieaudzētās mežaudzes un ieaudzētā meža agrotehniski koptās platības;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ilggadīgo stādījumu izveidi īsteno mikrouzņēmumi, mazie un vidējie uzņēmumi un attiecināmas ir šo noteikumu </w:t>
            </w:r>
            <w:r w:rsidR="00000000" w:rsidRPr="00000000" w:rsidDel="00000000">
              <w:rPr>
                <w:rtl w:val="0"/>
              </w:rPr>
              <w:t xml:space="preserve">58.</w:t>
            </w:r>
            <w:r w:rsidR="00000000" w:rsidRPr="00000000" w:rsidDel="00000000">
              <w:rPr>
                <w:rtl w:val="0"/>
              </w:rPr>
              <w:t xml:space="preserve"> un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izmaksas saskaņā ar regulas Nr. 2022/2472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Komisijas 2022. gada 14. decembra Regulas (ES) 2022/2472,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14. pantam ir vairākas apakšvienības. Attiecīgi, lūdzam pārliecināties par to, vai uz noteikumu projektu attiecināms viss 14. pants, piemēram, nosacījumi par to, ka investīcija var būt saistīta ar biodegvielu vai enerģijas ražošanu no atjaunīgiem energoresursiem lauku saimniecībā, ja saražotais apjoms nepārsniedz gada vidējo degvielas vai enerģijas patēriņu attiecīgajā lauku saimniecībā. Pamatojoties uz izvērtējumu, nepieciešamības gadījumā, lūdzam konkretizēt atsauci uz Eiropas Savienības attiecināmo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atsaucoties uz konkrētām apakšvienībām, lūdzam nodrošināt, ka atsauces ir precīzas. Piemēram, noteikumu projekta 65.7. apakšpunktā ņemt vērā, ka ir nevis </w:t>
            </w:r>
            <w:r w:rsidR="00000000" w:rsidRPr="00000000" w:rsidDel="00000000">
              <w:rPr>
                <w:i w:val="1"/>
                <w:rtl w:val="0"/>
              </w:rPr>
              <w:t xml:space="preserve">Komisijas 2022. gada 14. decembra Regulas (ES) 2022/2472,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"14. panta 6. punkta 4. apakšpunkta “iv” punkts", bet "14. panta 6. punkta 4. apakšpunkta "f" punkta “iv”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atbilstoši priekšlikumam, MK noteikumu projekta 60.1. (56.1. pēc numerācijas izmaiņām) apakšpunkts papildinot atsauces konkrēti uz kuriem Regulas Nr. 2022/2472 14. panta apakšpunktiem tiek piešķirts atbalsts ogulāju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ilggadīgo stādījumu izveidi īsteno mikrouzņēmumi, mazie un vidējie uzņēmumi, un saskaņā ar  Komisijas 2022. gada 14. decembra Regulas (ES)  2022/2472, </w:t>
            </w:r>
            <w:r w:rsidR="00000000" w:rsidRPr="00000000" w:rsidDel="00000000">
              <w:rPr>
                <w:i w:val="1"/>
                <w:rtl w:val="0"/>
              </w:rPr>
              <w:t xml:space="preserve">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(turpmāk – regula Nr. 2022/2472) 14. panta 3.punkta "a" un "b" apakšpunktiem attiecināmas ir šo noteikumu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Lauksaimniecībā izmantojamai zemei, kas atrodas īpaši jutīgajā teritorijā saskaņā ar normatīvajiem aktiem, mēslošanas plānu izstrādā saskaņā ar normatīvajiem aktiem par ūdens un augsnes aizsardzību no lauksaimnieciskās darbības izraisīta piesārņojuma ar nitrātiem.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63. punktā norādīt konkrētu normatīvo aktu vai to jomu, no no pašreizējās redakcijas nav skaidrs, kas punkta kontekstā saprotams ar vispārīgo atsauci "saskaņā ar normatīvajiem aktiem". Savukārt, Ministru kabineta 2011. gada 11. janvāra noteikumi Nr. 33 "Noteikumi par ūdens un augsnes aizsardzību no lauksaimnieciskās darbības izraisīta piesārņojuma ar nitrātiem", kas saprotami ar atsauci "normatīvajiem aktiem par ūdens un augsnes aizsardzību no lauksaimnieciskās darbības izraisīta piesārņojuma ar nitrātiem", ir zaudējuši spēku ar Ministru kabineta 2014. gada 23. decembra noteikumiem Nr. 834 "Prasības ūdens, augsnes un gaisa aizsardzībai no lauksaimnieciskās darbības izraisīta piesārņojuma".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labots MK noteikumu projekta 63. punkts, labojot atsauci uz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Lauksaimniecībā izmantojamai zemei, kas atrodas īpaši jutīgajā teritorijā, mēslošanas plānu izstrādā saskaņā ar normatīvajiem aktiem par prasībām ūdens, augsnes un gaisa aizsardzībai no lauksaimnieciskās darbības izraisīta piesārņojuma.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75.7. nodrošina, ka nekustamais īpašums vai tā daļa, kurā tiek īstenotas projektā paredzētās darbības, visa projekta dzīves cikla laikā ir finansējuma saņēmēja vai sadarbības partnera (ja attiecināms) īpašumā, valdījumā vai turējumā vai arī atrodas nekustamajā īpašumā, uz kuru finansējuma saņēmējam un sadarbības partnerim (ja attiecināms) ir spēkā esošas apbūves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anotācijā, kā tiks nodrošināts, ka projekta īstenošanas laikā netiek veiktas projekta būtiskas izmaiņas (kas ietekmē darbības veidu, mērķus vai īstenošanas nosacījumus, tādējādi traucējot tās sākotnējo mērķu sasniegšanu) gadījumā, ja nekustamais īpašums vai tā daļa atrodas finansējuma saņēmēja vai sadarbības partnera </w:t>
            </w:r>
            <w:r w:rsidR="00000000" w:rsidRPr="00000000" w:rsidDel="00000000">
              <w:rPr>
                <w:u w:val="single"/>
                <w:rtl w:val="0"/>
              </w:rPr>
              <w:t xml:space="preserve">turējumā</w:t>
            </w:r>
            <w:r w:rsidR="00000000" w:rsidRPr="00000000" w:rsidDel="00000000">
              <w:rPr>
                <w:rtl w:val="0"/>
              </w:rPr>
              <w:t xml:space="preserve">, un tiek veiktas izmaiņas turējuma tiesībās.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75.7 apakšpunkts nosaka, ka īstenojot projektu tas ir finansējuma saņēmēja un sadarbības partnera pienākums nodrošināt, ka nekustamā īpašuma īpašumtiesību veids ir spēkā esošs un visu projekta dzīves ciklu, atbilstoši tam ir izvirzīts specifiskais atbilstības kritērijs abās atlases kārtās, kas paredz vērtēt vai ir iesniegti dokumenti, kas pierāda īpašumtiesību veidu un vai tā termiņi ir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ja projekta iesniedzējs īstenojot projektu vai projekta dzīves ciklā nevar izpildīt vienošanās vai civiltiesiskā līguma par projektu īstenošanu prasības, tālākā rīcība ir saskaņā ar šo jomu regulējošajiem normatīvajiem aktiem, kas ir attiecināmi uz visiem ES fondu projektiem un saskaņā ar Eiropas Savienības fondu 2021.—2027. gada plānošanas perioda vadības likumu un 2021. gada 24. jūnija Eiropas parlamenta un padomes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finansējuma saņēmējam ir jānodrošina projekta rezultātu ilgtspēja projekta dzīves ciklā vai jāatmaksā iemaksas, kas no fondiem saņemtas darbību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projektu uzraudzību veic Centrālā finanšu un līgumu aģentūra atbilstoši noslēgtajai vienošanās vai civiltiesiskajam līgumam, kuros ir atrunāti tostarp īpašumtiesību jautājumi, rīcība gadījumos, kad projektā radušās izmaiņas un ar to saistītās informācijas apmaiņas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73.7. nodrošina, ka nekustamais īpašums vai tā daļa, kurā tiek īstenotas projektā paredzētās darbības, visa projekta dzīves cikla laikā ir finansējuma saņēmēja vai sadarbības partnera (ja attiecināms) īpašumā, valdījumā vai turējumā vai arī atrodas nekustamajā īpašumā, uz kuru finansējuma saņēmējam un sadarbības partnerim (ja attiecināms) ir spēkā esošas apbūves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Pēc civiltiesiskā līguma vai vienošanās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2021.–2027. gada plānošanas periodā, nodrošina finansējuma saņēmējam un sadarbības partnerim (ja attiecināms) avansa maksājumus, kurus var izmaksāt vairākos maksājumos, ievērojot, ka avansa un starpposma maksājumu kopsumma nepārsniedz 50 procentus no projektam piešķirtā Taisnīgas pārkārtošanās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25. aprīļa noteikumu Nr. 205 "Valsts budžeta līdzekļu plānošanas kārtība Eiropas Savienības fondu projektu īstenošanai un maksājumu veikšanai 2021.–2027. gada plānošanas periodā" 10. punkts paredz, ka </w:t>
            </w:r>
            <w:r w:rsidR="00000000" w:rsidRPr="00000000" w:rsidDel="00000000">
              <w:rPr>
                <w:i w:val="1"/>
                <w:rtl w:val="0"/>
              </w:rPr>
              <w:t xml:space="preserve">sadarbības iestāde, veicot avansa maksājumus, ievēro nosacījumu, ka maksimālais avansa apjoms nevar pārsniegt 30 % no projektam piešķirtā Eiropas Savienības fonda finansējuma un, ja tas ir paredzēts projektā, valsts budžeta līdzfinansējuma kopsummas, ja vien normatīvajā aktā par specifiskā atbalsta mērķa īstenošanu nav paredzēts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 punkts paredz, ka </w:t>
            </w:r>
            <w:r w:rsidR="00000000" w:rsidRPr="00000000" w:rsidDel="00000000">
              <w:rPr>
                <w:u w:val="single"/>
                <w:rtl w:val="0"/>
              </w:rPr>
              <w:t xml:space="preserve">avansa un starpposma</w:t>
            </w:r>
            <w:r w:rsidR="00000000" w:rsidRPr="00000000" w:rsidDel="00000000">
              <w:rPr>
                <w:rtl w:val="0"/>
              </w:rPr>
              <w:t xml:space="preserve"> maksājumu kopsumma nepārsniedz 50% no projektam piešķirtā Taisnīgas pārkārtošanās fonda finansējuma, savukārt anotācijas 1.3. sadaļas apakšsadaļā "Risinājuma apraksts" noteikts, ka tieši </w:t>
            </w:r>
            <w:r w:rsidR="00000000" w:rsidRPr="00000000" w:rsidDel="00000000">
              <w:rPr>
                <w:u w:val="single"/>
                <w:rtl w:val="0"/>
              </w:rPr>
              <w:t xml:space="preserve">avansa</w:t>
            </w:r>
            <w:r w:rsidR="00000000" w:rsidRPr="00000000" w:rsidDel="00000000">
              <w:rPr>
                <w:rtl w:val="0"/>
              </w:rPr>
              <w:t xml:space="preserve"> maksājumi nepārsniedz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regulējuma viennozīmīgas interpretācijas nolūkos precizēt noteikumu projekta 82. punktu, ja paredzēts, ka maksimālais </w:t>
            </w:r>
            <w:r w:rsidR="00000000" w:rsidRPr="00000000" w:rsidDel="00000000">
              <w:rPr>
                <w:u w:val="single"/>
                <w:rtl w:val="0"/>
              </w:rPr>
              <w:t xml:space="preserve">avansa</w:t>
            </w:r>
            <w:r w:rsidR="00000000" w:rsidRPr="00000000" w:rsidDel="00000000">
              <w:rPr>
                <w:rtl w:val="0"/>
              </w:rPr>
              <w:t xml:space="preserve"> apjoms pārsniegs 30% no projektam piešķirtā Taisnīgas pārkārtošanās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82. un 83. punktu un anotāciju, ņemot vērā, ka avansa maksājumi tiek piešķirti finansējuma saņēmējam, nevis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2023. gada 25. aprīļa noteikumu Nr. 205 "Valsts budžeta līdzekļu plānošanas kārtība Eiropas Savienības fondu projektu īstenošanai un maksājumu veikšanai 2021.–2027. gada plānošanas periodā" 10. punkts nosaka ka likme ir 30%, ja vien normatīvajā aktā par specifiskā atbalsta mērķa īstenošanu nav paredzēts citādi. Un šajā gadījumā ir noteikts cits avansa apmērs, kura apjoms pamatots anotācijā sadaļā 1.3. apakšnodaļā “Citi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labota, nosakot ka avansa un starpposma maksājumu kopsumma nepārsniedz 50% no projektam piešķirtā Taisnīgas pārkārtošanās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labots MK noteikumu projekts un anotācijā dzēšot sadarbības partneri kā to, kam tiek piešķirts avansa maksājums, atstājot tikai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Pēc civiltiesiskā līguma vai vienošanās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2021.–2027. gada plānošanas periodā, nodrošina finansējuma saņēmējam avansa maksājumus, kurus var izmaksāt vairākos maksājumos, ievērojot, ka avansa un starpposma maksājumu kopsumma nepārsniedz 50 procentus no projektam piešķirtā Taisnīgas pārkārtošanās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atspoguļot no noteikumu projekta izrietošo, piemēram, atbilstoši noteikumu projekta 65. punktam atbalsts saskaņā ar </w:t>
            </w:r>
            <w:r w:rsidR="00000000" w:rsidRPr="00000000" w:rsidDel="00000000">
              <w:rPr>
                <w:i w:val="1"/>
                <w:rtl w:val="0"/>
              </w:rPr>
              <w:t xml:space="preserve">Komisijas 2022. gada 14. decembra Regulu (ES)  2022/2472,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tiek piešķirts, ievērojot, piemēram, tās 1. panta 3. punkta “c” un “d” apakšpunkta nosacījumus. Savukārt anotācijā skaidrots, ka "</w:t>
            </w:r>
            <w:r w:rsidR="00000000" w:rsidRPr="00000000" w:rsidDel="00000000">
              <w:rPr>
                <w:i w:val="1"/>
                <w:rtl w:val="0"/>
              </w:rPr>
              <w:t xml:space="preserve">atbalsts netiek piemērots gadījumos, kas minēti regulas Nr. 2022/2472 1. panta 3.–5. punktā</w:t>
            </w:r>
            <w:r w:rsidR="00000000" w:rsidRPr="00000000" w:rsidDel="00000000">
              <w:rPr>
                <w:rtl w:val="0"/>
              </w:rPr>
              <w:t xml:space="preserve"> [..]". Tāpat, piemēram, tikai vispārīgi norādīts, ka atbalsta intensitāte, saskaņā ar regulas 651/2014 45. panta 9. un 10. punkts ir 85 % (mazajiem komersantiem), 80 % (vidējiem komersantiem) un 70% (lielajiem komersantiem), bet netiek skaidrots kāpēc tieši tā. Proti, atbilstoši regulas 651/2014 45. panta 9. punkta a) apakšpunktam atbalsta intensitāte nepārsniedz konkrētas vērtības, attiecīgi var būt pat 100 % no attiecināmajām izmaksām. Lūdzam novērst arī neprecizitātes skaidrojumos, piemēram, "</w:t>
            </w:r>
            <w:r w:rsidR="00000000" w:rsidRPr="00000000" w:rsidDel="00000000">
              <w:rPr>
                <w:i w:val="1"/>
                <w:rtl w:val="0"/>
              </w:rPr>
              <w:t xml:space="preserve">attiecināt līdz </w:t>
            </w:r>
            <w:r w:rsidR="00000000" w:rsidRPr="00000000" w:rsidDel="00000000">
              <w:rPr>
                <w:i w:val="1"/>
                <w:u w:val="single"/>
                <w:rtl w:val="0"/>
              </w:rPr>
              <w:t xml:space="preserve">202. gada</w:t>
            </w:r>
            <w:r w:rsidR="00000000" w:rsidRPr="00000000" w:rsidDel="00000000">
              <w:rPr>
                <w:i w:val="1"/>
                <w:rtl w:val="0"/>
              </w:rPr>
              <w:t xml:space="preserve"> 31. decembrim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65. punkts nosaka, ka atbalsts ilggadīgo stādījumu ierīkošanai tiek sniegts ar regulas 2022/2472 14. panta 3. punkta “a” un “b” apakšpunktu, ja tie ievēroti MK noteikumu projekta 65. punkta apakšpunktos uzskaitītie nosacījumi, tostarp, ja tiek ievēroti regulas nr. 2022/2472 1. panta 3 līdz 5. punkta nosacījumi, kas atbilstoši priekšlikumam ir izdalīti sīkāk un skaidroti atsevišķi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ir skaidrota atbalsta intensitāte gadījumos, kad atbalsts tiek piešķirts saskaņā ar regulu Nr. 651/2014, piemērojot tās 45. panta “c” un “d” apakšpunktu. Kā norādīts anotācijā, minētās regulas 9. pants nosaka atšķirīgu atbalsta intensitāti atkarībā no tā, uz kura 45. panta apakšpunkta pamata atbalsts tiek piešķirts, paredzot, ka maksimālā atbalsta intensitāte 100% apmērā ir pieļaujama vienīgi gadījumos, kad atbalsts tiek sniegts sanācijai vai remediācijai saskaņā ar regulas 45. panta “a” un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regulas (ES) Nr. 651/2014 10. pants nosaka atbalsta intensitātes apmēru pasākumiem, kuriem atbalsts tiek piešķirts saskaņā ar tās 45. panta “c” un “d” apakšpunktu, paredzot atbalsta intensitātes palielinājumu mazajiem un vidējiem uzņēmumiem atbilstoši minētā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uz Taisnīgas pārkārtošanās fondu pasākumiem ir tieši attiecināma Eiropas Komisijas 2021. gada 24. jūnija Regulas (ES) Nr. 2021/1056, ar ko izveido Taisnīgas pārkārtošanās fondu, 10. panta 3.punkta “a” apakšpunkta nosacījumi, kas izriet no Eiropas Parlamenta un Padomes Regulas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112.panta nosacījumiem un nosaka, ka maksimālā atbalsta likme nepārsniedz 85% mazāk attīstītiem reģioniem, kas tieši attiecināms uz Latviju. Ja tiek palielināta maksimālā atbalsta likme, jāparedz kompensējošie pasākumi, kuros tiek sniegts samazināts Taisnīgas pārkārtošanās fonda atbalsts, lai pasākumā kopā netiktu pārsniegta maksimāli attiecināmā 85% likme, kas ar MK noteikumu projekta izmaiņām, balstoties uz Zemkopības ministrijas saņemto iebildumu ir īstenots, tostarp palielinot likmi renaturalizācijai un ir pamatots Anotācijas 1.3. 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Neprecizitāte attiecībā uz attiecināmības gadu ir labota.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"Atbalstāmās darbības" sniegta plašāka informācija par jēdziena "kompetenti eksperti" ietvaru - attiecīgās jomas speciālisti ar pieredzi zemes sanācijas, hidroloģijas, ģeoloģijas, bioloģijas vai vides inženierzinātņu jomās. Vienlaikus KEM ieskatā nav skaidrs, vai nepieciešami visu šo speciālistu atzinumi un kas domāts ar pieredzi zemes sanācijas jomā, kā arī, kas apliecinās šo speciālistu pieredzi konkrētajās jomās.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“Atbalstāmās darbības” papildinātas skaidrojot kas apliecina ekspertu kompetenci, tāpat papildināts ekspertu uzskaitījums konkrētiem revitalizācijas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lai nodrošinātu, ka netiek sašaurinātas vai ierobežotas iespējas saņemt nepieciešamos kompetento ekspertu un iestāžu atzinumus, netiek paredzēts sīkāk skaidrot vai konkrētāk noteikt ekspertu veidus un attiecīgās iestādes. Tas nodrošina gan projekta iesniedzējiem, gan vērtēšanas komisijai iespēju, ka projekta iesniedzējs pēc nepieciešamības var iegūt trūkstošos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netiks detalizēti izdalītas, jo katras jomas kompetentās iestādes jau nosaka attiecīgās jomas regulējošie normatīvie akti, piemēram, tehnisko noteikumu saņemšanai — Valsts vides dienests, bet īpaši aizsargājamās dabas teritorijās — Dabas aizsardzības pārvalde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Klimata un enerģētikas ministriju piedāvāt redakcijas un minēt konkrētus ekspertus, speciālistus un iestādes atbilstoši priekšlikumam, ja tas tiek uzturēts.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termins "sanācijas pasākumi", kas ietverts Vides aizsardzības likumā tomēr vairāk attiecināms uz videi nodarīto kaitējumu, kas piemērojams gadījumiem, kad kaitējums  nodarīts augsnei, ūdenim un īpaši aizsargājamām sugām un biotopiem. Vides aizsardzības likumā noteiktais regulējums paredz principus mūsdienās radīta kaitējuma novēršanai un secīgām darbībām - atbildīgā operatora vai personas noteikšana, administratīvās vai kriminālatbildības noteikšana, neatliekamo pasākumu veikšana un sekojošu sanācijas vai kompensējamo pasākumu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termina “sanācija” lietošana tiek veikta saskaņā ar Vides aizsardzības likumā noteikto “sanācijas pasākumi” terminoloģiju par dabas resursu kaitējuma novēršanu, kas šī pasākuma kontekstā būtu saprotama kā darbības degradētu ekosistēmu labvēlīga stāvokļa atjaunošanai, tādējādi termins “sanācija” ir plašāks un atbilstošs.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saistošajos normatīvajos aktos vides aizsardzības jomā, tostarp Vides aizsardzības likumā, nav definēts jēdziens vēsturiskais piesārņojums, kā rezultātā nevar tikt izdalīts, ka uz vēsturiskajām kūdras vietām nav attiecināmi sanācijas pasākumi.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sadaļa papildināta skaidrojot, ka iznākuma rādītāja nosaukums lietots atbilstoši oficiālajam tulkojumam atbilstoši Eiropas Savienības kohēzijas politikas programma 2021.–2027.gadam,  kas tieši piemērojams šim pasākumam. Tādēļ iznākuma rādītāja definīcija noteikta saskaņā ar Eiropas Komisijas izstrādātajām vadlīnijām Eiropas Reģionālās attīstības fonda, Kohēzijas fonda un Taisnīgas pārejas fonda 2021.-2027. gada periodam izvērtēšanai un uzraudzībai un nav maināma. Un sekojoši anotācijā tiek skaidrota šī termina sasaiste ar Vides aizsardzības likumā definēto terminoloģiju, lai novērstu plašāku interpretāciju.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VARAM ieskatā uz vēsturiskām kūdras ieguves vietām nav attiecināms regulējums par degradētām teritorijām. Saskaņā ar Ministru kabineta 2021. gada 6. jūlija noteikumiem Nr. 465 "Noteikumi par degradēto teritoriju un augsnes degradācijas novērtēšanu, degradācijas kritērijiem un to klasifikāciju" kā viens no degradētu teritoriju veidiem minēts - pamesta vai nerekultivēta derīgo izrakteņu ieguves vieta, līdz ar to KEM ieskatā pilnībā attiecināms uz vēsturiskām kūdras ieguves vietām.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piekrītam KEM, ka vēsturiskās kūdras ieguves vietas ir kvalificējamas kā MK noteikumos Nr. 465 definētās degradētās teritorijas, vienlaikus norādām, ka  šo teritoriju revitalizācija jeb pasākuma darbību īstenošana, lai tās vairs netiktu uzskatītas par degradētām, būtu iespējama tikai tādā gadījumā, ja pašvaldība savā teritorijas plānojumā attiecīgās teritorijas būtu noteikusi kā degradētas.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būtiski ierobežotu 6.1.1.1. pasākuma ietvaros potenciāli īstenojamo teritoriju platību, vienlaikus radot ievērojamu administratīvo slogu pašvaldībām veicot labojumus teritoriju plānojumos. Turklāt, ņemot vērā teritorijas plānojuma izstrādes un grozījumu veikšanas termiņus, praksē nebūtu iespējams līdz 2030. gada 31. decembrim nodrošināt šo teritoriju atzīšanu par revitalizētām, tādējādi radot būtiskus pasākuma īstenošanas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papildus jau iepriekš minētajam, lai MK noteikumus Nr. 465 būtu iespējams piemērot vēsturisko kūdras ieguves vietu revitalizācijai, tos būtu nepieciešams papildināt, nosakot gan pieļaujamos revitalizācijas veidus, gan kārtību, kādā tiek izvērtēta īstenoto darbu pabeigtība, tostarp paredzot institūciju, kas pieņem lēmumu par revitalizācijas darbu atzīšanu par pabeigtiem.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projekta 3.punktā paredzēto, lūdzam papildināt anotācijas 1.3.sadaļu ar īsu skaidrojumu par to, kā arī protokollēmuma projekta 3.punktu papildināt ar informāciju par kopējā attiecināmā finansējuma un pašvaldības budžeta līdzfinansējuma kopsummām attiecībā uz  6.1.1.1. pasākuma "Atteikšanās no kūdras izmantošanas enerģētikā" otrās projektu iesniegumu atlases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papildināta ar skaidrojumu par finansējuma pārdali no 6.1.1.1. pasākuma otrās kārtas uz 6.1.1.1. pasākuma ceturto un piekto kārtu. Papildināta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tā 3. un 4.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tiek atbalstīta Taisnīgas pārkārtošanās fonda finansējuma novirzīšana 128 672 euro apmērā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atlases otrās kārtas (turpmāk – 6.1.1.1. pasākuma otrā kārta) uz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piekto projektu iesniegumu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Viedās administrācijas un reģionālās attīstības ministrija grozījumus Ministru kabineta 2025. gada 25. jūnija noteikumos Nr. 394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 nosakot, ka turpmāk 6.1.1.1. pasākuma otrās kārtas kopējais finansējums ir ne mazāks kā  1 025 092 euro, tai skaitā Taisnīgas pārkārtošanās fonda finansējums – 871 328 euro un nacionālais finansējums (pašvaldību finansējums) – ne mazāks kā 163 764 euro, sagatavos kopā ar citiem (būtiskiem) grozījumiem šajā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kopējo un Taisnīgas pārkārtošanās fonda finansējumu sadalījumu pa gadiem, un salāgot ar kopējo Taisnīgas pārkārtošanās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3. sadaļa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11.punktā paredzēto, ka piektajā kārtā kā nacionālais līdzfinansējums var būt arī pašvaldības budžeta finansējums, ja kā sadarbības partneris tiek piesaistīta pašvaldība, lūdzam anotācijas 3.sadaļas pirmajā rindkopā pievienot skaidrojumu, kāpēc tajā ir norādīts, ka attiecībā uz piekto kārtu netiek plānota nacionāla līdzfinansējuma ietekme, jo to segs finansējuma saņēmēji no privātajiem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6. punkta pirmā rindkopa, skaidrojot pašvaldību iespējamo iesaistes apjomu kā sadarbības partneriem atbilstoši MK noteikumu projekta 11.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un 2027.gadam ailēs “saskaņā ar vidēja termiņa budžeta ietvaru” norādīto informāciju pārcelt uz ailēm “izmaiņas, salīdzinot ar vidēja termiņa budžeta ietvaru”, tai skaitā aizpildot 5.3.apakšpunktus, ievērojot, ka ceturtās un piektās projektu iesniegumu atlases kārtas vēl nav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- 2026.gadam precizēt 1.1. un 2.1.apakšpunktos norādīto apmēru, lai tas atbilstu 6.punktā norādītajam Taisnīgas pārkārtošanās fonda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- 6.2.apakšpunktā precizēt norādīto informāciju, jo noteikumu projekts neparedz līdzfinansējumu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vispārīgajām darbībām, kuras saskaņā ar  vadlīnijām “Horizontālais princips “Vienlīdzība, iekļaušana, nediskriminācija un pamattiesību ievērošana”. Vadlīnijas īstenošanai un uzraudzībai (2021-2027)”  [1] ir jāīsteno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pozitīva ietekme uz personu ar invaliditāti vienlīdzīgām iespējām un tiesībām. Projektu ietvaros tiks īstenotas vispārīgas darbības, piemēram,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nodrošināts, ka informācija projekta vai finansējuma saņēmēja tīmekļa vietnē ir piekļūstama cilvēkiem ar funkcionēšanas ierobežojumiem, izmantojot vairākus sensoros (redze, dzirde, tauste) kanālus (skat.VARAM vadlīnijas šeit:  https://www.varam.gov.lv/lv/timeklvietnu-pieklustamibas-vadlinijas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izstrādātajām horizontālā principa (turpmāk – HP) “Vienlīdzība, iekļaušana, nediskriminācija un pamattiesību ievērošana” (turpmāk – VINPI)(2021-2027) 2025. gada  7. augusta vadlīnijām, projektu  iesniegumu atlasēs, kurās to satura dēļ nav iespējam īstenot nevienu HP VINPI darbību, HP VINPI vienas vispārīgās darbības piemērošana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vienas vispārīgās darbības piemērojamību 6.1.1.1. pasākuma ceturtajai un piektajai atlases kārtas komunikācijas pasākumiem, tika secināts, ka pasākums paredz tehniska, būvniecības un zemes lietošanas maiņas rakstura ieguldījumus, to ietvaros neparedzot personāla piesaisti, publisku pasākumu organizēšanu vai iepirkumus, kas būtu izsekojami pasākuma ietvaros, jo tiek piemērota vienkāršoto izmaksu metodika, līdz ar to pasākumā netiek atbalstītas darbības, uz kurām būtu iespējams attiecināt HP VINPI vispārīgo darbību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atbalstu tikai obligāto komunikācijas prasību izpildi nodrošinošām darbībām, kas saskaņā ar Eiropas Savienības fondu 2021.–2027. gada un Atveseļošanās fonda komunikācijas un dizaina vadlīnijām ietver A3 formāta plakāta izvietošanu vai tam līdzvērtīga paziņojuma publicēšanu tīmekļvietnē vai sociālajos tīklos. Citi komunikācijas pasākumi MK noteikumu projekta ietvaros nav paredzēti. Sekojoši MK noteikumu projekts neparedz citu komunikācijas pasākumu īstenošanu, kam būtu piemērojama vispārīgā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secinājums tika izdarīts, pārskatot iespējamo vienas vispārīgās darbības piemērošanu sadarbībā ar Labklājības ministrijas horizontālā principa “Vienlīdzība, iekļaušana, nediskriminācija un pamattiesību ievērošana” koordinācijas vadošo eksperti Inesi Vilcāni.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iepriekš skaidrojumā minētajām vadlīnijām projektu iesniegumu atlases kārtās, kurās projektu satura dēļ nav iespējams īstenot nevienu HP VINPI darbību, jo netiek īstenota publicitāte, netiek piesaistīts personāls un netiek veikti publiskie iepirkumi, HP VINPI kritērijs un darbība nav piemērojama.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“Horizontālais princips “Vienlīdzība, iekļaušana, nediskriminācija un pamattiesību ievērošana”. Vadlīnijas īstenošanai un uzraudzībai (2021-2027)”  [1] 7.3. sadaļu “HP VINPI vērtēšanas kritērija piemērošanas metodika”, pasākumos, kuros nav ietekmes uz horizontālo principu, finansējuma saņēmējiem ir jānodrošina vismaz vienas vispārīgas HP darbības īstenošana (piemēram,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izstrādāto vadlīniju “Horizontālais princips “Vienlīdzība, iekļaušana, nediskriminācija un pamattiesību ievērošana”. Vadlīnijas īstenošanai un uzraudzībai (2021-2027)”  1.pielikumā norādītajam, pasākumam nav ietekmes uz horizontālo principu. Pasākuma īstenošanā tiks ievēroti vispārējie nediskriminācijas principi, kā arī finansējuma saņēmēji ņems vērā prasības attiecībā uz informācijas piekļūstamību. Saskaņā ar HP vadlīniju 7.3. sadaļu “HP VINPI vērtēšanas kritērija piemērošanas metodika” finansējuma saņēmējiem ir jānodrošina vismaz vienas vispārīgas HP darbības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izstrādātajām horizontālā principa (turpmāk – HP) “Vienlīdzība, iekļaušana, nediskriminācija un pamattiesību ievērošana” (turpmāk – VINPI)(2021-2027) 2025. gada  7. augusta vadlīnijām, projektu  iesniegumu atlasēs, kurās to satura dēļ nav iespējam īstenot nevienu HP VINPI darbību, HP VINPI vienas vispārīgās darbības piemērošana pasākumiem, kuriem nav ietekmes uz HP VINPI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vienas vispārīgās darbības piemērojamību 6.1.1.1. pasākuma ceturtajai un piektajai atlases kārtai, tika secināts, ka pasākums paredz tehniska, būvniecības un zemes lietošanas maiņas rakstura ieguldījumus, to ietvaros neparedzot personāla piesaisti, publisku pasākumu organizēšanu vai iepirkumus, kas būtu izsekojami projekta ietvaros, jo tiek piemērota vienkāršoto izmaksu metodika un līdz ar to pasākuma ietvaros netiek atbalstītas tādas darbības, uz kurām iespējams attiecināt HP VINPI vispārīgo darbību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secinājums tika izdarīts, pārskatot iespējamo vienas vispārīgās darbības piemērošanu sadarbībā ar Labklājības ministrijas horizontālā principa “Vienlīdzība, iekļaušana, nediskriminācija un pamattiesību ievērošana” koordinācijas vadošo eksperti Inesi Vilcāni.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iepriekš skaidrojumā minētajām vadlīnijām projektu iesniegumu atlases kārtās, kurās projektu satura dēļ nav iespējams īstenot nevienu HP VINPI darbību, jo netiek īstenota publicitāte, netiek piesaistīts personāls un netiek veikti publiskie iepirkumi, HP VINPI kritērijs un darbība nav piemērojama.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25-TA-2249</w:t>
    </w:r>
    <w:r>
      <w:br/>
    </w:r>
    <w:r w:rsidR="00000000" w:rsidRPr="00000000" w:rsidDel="00000000">
      <w:rPr>
        <w:rtl w:val="0"/>
      </w:rPr>
      <w:t xml:space="preserve">23.02.2026. 08.44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25-TA-2249</w:t>
    </w:r>
    <w:r>
      <w:br/>
    </w:r>
    <w:r w:rsidR="00000000" w:rsidRPr="00000000" w:rsidDel="00000000">
      <w:rPr>
        <w:rtl w:val="0"/>
      </w:rPr>
      <w:t xml:space="preserve">23.02.2026. 08.44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Izziņa_25-TA-2249.docx</dc:title>
</cp:coreProperties>
</file>

<file path=docProps/custom.xml><?xml version="1.0" encoding="utf-8"?>
<Properties xmlns="http://schemas.openxmlformats.org/officeDocument/2006/custom-properties" xmlns:vt="http://schemas.openxmlformats.org/officeDocument/2006/docPropsVTypes"/>
</file>