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25-TA-115: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2024. gada 9. jūlija noteikumos Nr. 448 "Eiropas Savienības kohēzijas politikas programmas 2021.–2027.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4.1.2.2. pasākuma "Veselības veicināšanas un slimību profilakses pasākumu īstenošana vietējai sabiedrībai"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(12.07.2024.)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- 07.02.2025.)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Vērtējot radušos situāciju, Veselības ministrija kā atbildīgā iestāde pieņēma lēmumu uzaicināt Ventspils domes administrāciju un  atsevišķi vienojoties, noteikt, ka vietējās sabiedrības veselības veicināšanas un slimību profilakses pasākumu īstenošanu Ventspils novada iedzīvotājiem veic Ventspils domes administrācija. Ņemot vērā, ka šī ir ierobežota iesniegumu atlase, šo noteikumu  pielikumā Ventspils novadam noteikto finansējuma apjomu 84 169 euro apmērā (t.sk. 71 543,65 euro Eiropas Sociālā fonda finansējums un 12 625,35 euro valsts finansējums) Ventspils domes administrācijai papildu darbību īstenošanai, var piešķirt ar projekta grozījumiem neveicot jaunu projektu iesniegumu atlasi, un vienlaikus aptverot arī plašāku mērķauditorijas loku.[..]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Ventspils valstspilsētas pašvaldības (turpmāk – Pašvaldība) iestāde “Ventspils domes administrācija” par papildu finansējumu 84 169 euro apjomā ir gatava papildu darbību īstenošanai, aptverot plašāku mērķauditoriju, t. i., iesaistot Ventspils novada iedzīvotājus veselības veicināšanas un slimību profilakses pasākumos Pašvaldības teritorijā, ko apliecināja arī 2024. gada 9. decembra vēstulē Nr. 1-09/2-5079-1 “Par ES fondu veselības veicināšanas un slimību profilakses pasākumu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precizēt Anotācijas rīcības apraksta otrās rindkopas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“Vērtējot radušos situāciju, Veselības ministrija kā atbildīgā iestāde pieņēma lēmumu uzaicināt Ventspils domes administrāciju un atsevišķi vienojoties, noteikt, ka vietējās sabiedrības veselības veicināšanas un slimību profilakses pasākumu īstenošanu Ventspils novada iedzīvotājiem veic Ventspils domes administrācija. </w:t>
            </w:r>
            <w:r w:rsidR="00000000" w:rsidRPr="00000000" w:rsidDel="00000000">
              <w:rPr>
                <w:i w:val="1"/>
                <w:u w:val="single"/>
                <w:rtl w:val="0"/>
              </w:rPr>
              <w:t xml:space="preserve">Veselības ministrijas uzaicinājumam atsaucās Ventspils domes administrācija un apliecināja gatavību par papildu finansējumu 84 169 euro apjomā veikt papildus darbības un iesaistīt Ventspils novada iedzīvotājus veselības veicināšanas un slimību profilakses pasākumos Ventspils valstspilsētas pašvaldības teritorijā.</w:t>
            </w:r>
            <w:r w:rsidR="00000000" w:rsidRPr="00000000" w:rsidDel="00000000">
              <w:rPr>
                <w:i w:val="1"/>
                <w:rtl w:val="0"/>
              </w:rPr>
              <w:t xml:space="preserve"> Ņemot vērā, ka šī ir ierobežota iesniegumu atlase, šo noteikumu pielikumā Ventspils novadam noteikto finansējuma apjomu 84 169 euro apmērā (t.sk. 71 543,65 euro Eiropas Sociālā fonda finansējums un 12 625,35 euro valsts finansējums) Ventspils domes administrācijai papildu darbību īstenošanai, var piešķirt ar projekta grozījumiem neveicot jaunu projektu iesniegumu atlasi, un vienlaikus aptverot arī plašāku mērķauditorijas loku.[..]”.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07.02.2025. atkārtoti saņemtajam atzinumam no LLPA (izziņas 2.punkts) MK noteikumu projekts ir saskaņots ar priekšlikumiem. Attiecīgi veikti precizējumi pēc Ventspils domes administrācijas izteiktā priekšlikuma: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Vērtējot radušos situāciju, Veselības ministrija kā atbildīgā iestāde pieņēma lēmumu uzaicināt Ventspils domes administrāciju un atsevišķi vienojoties, noteikt, ka vietējās sabiedrības veselības veicināšanas un slimību profilakses pasākumu īstenošanu Ventspils novada iedzīvotājiem veic Ventspils domes administrācija. Attiecīgi Veselības ministrijas uzaicinājumam atsaucās Ventspils domes administrācija un apliecināja gatavību par papildu finansējumu, kas ir šo noteikumu pielikumā Ventspils novadam noteiktais finansējuma apjoms 84 169 euro apmērā (t.sk. 71 543,65 euro Eiropas Sociālā fonda finansējums un 12 625,35 euro valsts finansējums) veikt papildus darbības un iesaistīt Ventspils novada iedzīvotājus veselības veicināšanas un slimību profilakses pasākumos Ventspils valstspilsētas pašvaldības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- 07.02.2025.)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LLPA saskaņo šo tiesību aktu un iepriekš pausto viedokli (iebildumu) lūdz ņemt vērā kā priekšlikumu.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Komentārs izziņas 1.punktā.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- 07.02.2025.)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Ventspils valstspilsētas pašvaldības (turpmāk – Pašvaldība) iestāde “Ventspils domes administrācija” par papildu finansējumu 84 169 euro apjomā ir gatava papildu darbību īstenošanai, aptverot plašāku mērķauditoriju, t. i., iesaistot Ventspils novada iedzīvotājus veselības veicināšanas un slimību profilakses pasākumos Pašvaldības teritorijā, ko apliecināja arī 2024. gada 9. decembra vēstulē Nr. 1-09/2-5079-1 “Par ES fondu veselības veicināšanas un slimību profilakses pasākumu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precizēt Anotācijas rīcības apraksta otrās rindkopas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“Vērtējot radušos situāciju, Veselības ministrija kā atbildīgā iestāde pieņēma lēmumu uzaicināt Ventspils domes administrāciju un atsevišķi vienojoties, noteikt, ka vietējās sabiedrības veselības veicināšanas un slimību profilakses pasākumu īstenošanu Ventspils novada iedzīvotājiem veic Ventspils domes administrācija. Veselības ministrijas uzaicinājumam atsaucās Ventspils domes administrācija un apliecināja gatavību par papildu finansējumu 84 169 euro apjomā veikt papildus darbības un iesaistīt Ventspils novada iedzīvotājus veselības veicināšanas un slimību profilakses pasākumos Ventspils valstspilsētas pašvaldības teritorijā. Ņemot vērā, ka šī ir ierobežota iesniegumu atlase, šo noteikumu pielikumā Ventspils novadam noteikto finansējuma apjomu 84 169 euro apmērā (t.sk. 71 543,65 euro Eiropas Sociālā fonda finansējums un 12 625,35 euro valsts finansējums) Ventspils domes administrācijai papildu darbību īstenošanai, var piešķirt ar projekta grozījumiem neveicot jaunu projektu iesniegumu atlasi, un vienlaikus aptverot arī plašāku mērķauditorijas loku.[..]”.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Komentārs izziņas 1.punktā.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Veselības ministrija ir atbildīga par efektīvu finansējuma izlietojumu un pakalpojuma pieejamības pakalpojumu saņēmējiem nodrošināšanu optimālākā veidā. Līdz ar to, lūdzam papildināt anotāciju ar informāciju par to kā Veselības ministrija ir pārliecinājusies par finansējuma saņēmēja spēju īstenot projekta aktivitātes teritorijā, pār kuru finansējuma saņēmējs plāno uzņemies saistības.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MK noteikumu anotācijā aprakstītajam, skaidrojam, ka Ventspils novada pašvaldība neplāno piedalīties 4.1.2.2. pasākumā. Izvērtējot radušos situāciju un teritoriālo novietojumu, tika uzrunāta Ventspils valstspilsētas pašvaldības iestāde “Ventspils domes administrācija”, kura atsaucās aicinājumam un 2024. gada 9. decembrī tika saņemta Ventspils domes administrācijas vēstule Nr. 1-09/2-5079-1 “Par ES fondu veselības veicināšanas un slimību profilakses pasākumu īstenošanu ”, kurā Ventspils domes administrācija apņemas veikt projekta Nr. 4.1.2.2/1/24/I/005 “Pasākumu īstenošana Ventspils valstspilsētā vietējās sabiedrības veselības veicināšanai un slimību profilaksei” līguma grozījumus  un īstenot vietējās sabiedrības veselības veicināšanas un slimību profilakses pasākumus arī Ventspils novada iedzīvotājiem. Ņemot vērā, ka Ventspils valstspilsētas Ventspils domes administrācija apņemas veikt šo uzdevumu, novērtējam, ka Ventspils valstspilsētas kapacitāte ir pietiekama, lai pasākumos piesaistītu arī novada iedzīvotājus. Lai par šo pārliecinātos pastiprināti tiks vērtēti projekta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izvērtējot, ka Ventspils novads sastāv no 11 pagastiem ar iedzīvotāju blīvumu 4,4 iedzīvotāji uz km</w:t>
            </w:r>
            <w:r w:rsidR="00000000" w:rsidRPr="00000000" w:rsidDel="00000000">
              <w:rPr>
                <w:vertAlign w:val="superscript"/>
                <w:rtl w:val="0"/>
              </w:rPr>
              <w:t xml:space="preserve">2</w:t>
            </w:r>
            <w:r w:rsidR="00000000" w:rsidRPr="00000000" w:rsidDel="00000000">
              <w:rPr>
                <w:rtl w:val="0"/>
              </w:rPr>
              <w:t xml:space="preserve">, pasākumu norise tiks plānota teritoriāli pieejamās vietās iedzīvotājiem, nodrošinot  pieejamību Ventspils novada iedzīvotājiem informācijai par plānotajiem pasākumiem. Tostarp Ventspils novada iedzīvotāji var apmeklēt jebkuru pilsētas pasākumu, kas ir pieejami visiem.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Viennozīmīgai izpratnei, aicinām noteikumu projekta anotācijas 1.3. sadaļas attiecīgajā apakšsadaļā "Risinājuma apraksts" skaidri norādīt, ka pārejās transporta izmaksas mērķa grupām nokļūšanai pasākumu norises vietās, kurām nav noteikta likme metodikā “Vienas vienības izmaksu standarta likmes aprēķina un piemērošanas metodika 1 km izmaksām darbības programmas “Izaugsme un nodarbinātība” un Eiropas Savienības kohēzijas politikas programmas 2021.–2027.gadam īstenošanai”, attiecināmas kā faktiskās izmaksas. Vienlaikus lūdzam minētajā anotācijas apakšsadaļā svītrot iekļauto aprakstu par principiem, uz ko balstīti metodikā ietverto likmju aprēķini, jo tie nav jādublē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ar 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Pārejās transporta izmaksas mērķa grupām nokļūšanai pasākumu norises vietās, kurām nav noteikta likme metodikā “Vienas vienības izmaksu standarta likmes aprēķina un piemērošanas metodika 1 km izmaksām darbības programmas “Izaugsme un nodarbinātība” un Eiropas Savienības kohēzijas politikas programmas 2021.–2027.gadam īstenošanai”, attiecināmas kā faktiskās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Svītrota teksta daļa: apraksts par principiem, uz ko balstīti metodikā ietverto likmju aprēķini, jo tie nav jādublē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Veselības ministrijai sadarbībā ar Centrālo finanšu un līgumu aģentūru nodrošināt, ka finansējuma saņēmējs - Ventspils domes administrācija uzņemas papildu līgumsaistības projektā Nr. 4.1.2.2/1/24/I/005 “Pasākumu īstenošana Ventspils valstspilsētā vietējās sabiedrības veselības veicināšanai un slimību profilaksei”, palielinot pieejamo kopējo attiecināmo finansējumu par 84 169,00 </w:t>
            </w:r>
            <w:r w:rsidR="00000000" w:rsidRPr="00000000" w:rsidDel="00000000">
              <w:rPr>
                <w:i w:val="1"/>
                <w:rtl w:val="0"/>
              </w:rPr>
              <w:t xml:space="preserve">euro</w:t>
            </w:r>
            <w:r w:rsidR="00000000" w:rsidRPr="00000000" w:rsidDel="00000000">
              <w:rPr>
                <w:rtl w:val="0"/>
              </w:rPr>
              <w:t xml:space="preserve"> pēc tam, kad ir stājušies spēkā grozījumi projekta iesniegumā.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izmaiņas projekta iesniegumā neveic pēc projekta iesnieguma apstiprināšanas un vienošanās par projekta īstenošanu parakstīšanas, attiecīgi lūdzam precizēt MK sēdes protokollēmuma projekta 3.punktu.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Veselības ministrijai sadarbībā ar Centrālo finanšu un līgumu aģentūru nodrošināt, ka finansējuma saņēmējs - Ventspils domes administrācija uzņemas papildu līgumsaistības projektā Nr. 4.1.2.2/1/24/I/005 “Pasākumu īstenošana Ventspils valstspilsētā vietējās sabiedrības veselības veicināšanai un slimību profilaksei”, palielinot pieejamo kopējo attiecināmo finansējumu par 84 169,00 </w:t>
            </w:r>
            <w:r w:rsidR="00000000" w:rsidRPr="00000000" w:rsidDel="00000000">
              <w:rPr>
                <w:i w:val="1"/>
                <w:rtl w:val="0"/>
              </w:rPr>
              <w:t xml:space="preserve">euro</w:t>
            </w:r>
            <w:r w:rsidR="00000000" w:rsidRPr="00000000" w:rsidDel="00000000">
              <w:rPr>
                <w:rtl w:val="0"/>
              </w:rPr>
              <w:t xml:space="preserve"> pēc tam, kad ir stājušies spēkā grozījumi projekta līgumā.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1</w:t>
            </w:r>
            <w:r w:rsidR="00000000" w:rsidRPr="00000000" w:rsidDel="00000000">
              <w:rPr>
                <w:rtl w:val="0"/>
              </w:rPr>
              <w:t xml:space="preserve"> Ja projektu iesniegumu atlases ietvaros nav pieteicies kāds no šo noteikumu </w:t>
            </w:r>
            <w:r w:rsidR="00000000" w:rsidRPr="00000000" w:rsidDel="00000000">
              <w:rPr>
                <w:rtl w:val="0"/>
              </w:rPr>
              <w:t xml:space="preserve">14.</w:t>
            </w:r>
            <w:r w:rsidR="00000000" w:rsidRPr="00000000" w:rsidDel="00000000">
              <w:rPr>
                <w:rtl w:val="0"/>
              </w:rPr>
              <w:t xml:space="preserve">  punktā minētajiem projekta iesniedzējiem, tad atbildīgā iestāde, atsevišķi vienojoties, nosaka vietējās sabiedrības veselības veicināšanas un slimību profilakses pasākumu īstenošanu veikt citam šo noteikumu </w:t>
            </w:r>
            <w:r w:rsidR="00000000" w:rsidRPr="00000000" w:rsidDel="00000000">
              <w:rPr>
                <w:rtl w:val="0"/>
              </w:rPr>
              <w:t xml:space="preserve">14.</w:t>
            </w:r>
            <w:r w:rsidR="00000000" w:rsidRPr="00000000" w:rsidDel="00000000">
              <w:rPr>
                <w:rtl w:val="0"/>
              </w:rPr>
              <w:t xml:space="preserve"> punktā minētajam finansējuma saņēmējam.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viennozīmīgai tiesību normas interpretācijai papildināt noteikumu projekta 1.punktā izteikto 14.</w:t>
            </w:r>
            <w:r w:rsidR="00000000" w:rsidRPr="00000000" w:rsidDel="00000000">
              <w:rPr>
                <w:vertAlign w:val="superscript"/>
                <w:rtl w:val="0"/>
              </w:rPr>
              <w:t xml:space="preserve">1</w:t>
            </w:r>
            <w:r w:rsidR="00000000" w:rsidRPr="00000000" w:rsidDel="00000000">
              <w:rPr>
                <w:rtl w:val="0"/>
              </w:rPr>
              <w:t xml:space="preserve"> punktu ar subjektu, ar ko būs atsevišķi jāvienojas atbildīgajai iestādei, gadījumā, ja vietējās sabiedrības veselības veicināšanas un slimību profilakses pasākumu īstenošanu veiks cits šo noteikumu 14. punktā minētais finansējuma saņēmējs.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ņemot vērā, ka noteikumu 14. punktā minēts, ka projektu iesniedzēju saraksts noteikts pielikumā, lūdzam 14.</w:t>
            </w:r>
            <w:r w:rsidR="00000000" w:rsidRPr="00000000" w:rsidDel="00000000">
              <w:rPr>
                <w:vertAlign w:val="superscript"/>
                <w:rtl w:val="0"/>
              </w:rPr>
              <w:t xml:space="preserve">1</w:t>
            </w:r>
            <w:r w:rsidR="00000000" w:rsidRPr="00000000" w:rsidDel="00000000">
              <w:rPr>
                <w:rtl w:val="0"/>
              </w:rPr>
              <w:t xml:space="preserve"> punktā minēto atsauci uz 14. punktu aizstāt ar atsauci uz noteikumu pielikumu.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izvērtēt iespēju grozīt noteikumu projekta pielikumā noteikto finansējuma apjomu Ventspilij un Ventspils novadam, tādējādi saglabājot nosacījumu pārskatāmību.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1</w:t>
            </w:r>
            <w:r w:rsidR="00000000" w:rsidRPr="00000000" w:rsidDel="00000000">
              <w:rPr>
                <w:rtl w:val="0"/>
              </w:rPr>
              <w:t xml:space="preserve"> Ja projektu iesniegumu atlases ietvaros nav pieteicies kāds no šo noteikumu </w:t>
            </w:r>
            <w:r w:rsidR="00000000" w:rsidRPr="00000000" w:rsidDel="00000000">
              <w:rPr>
                <w:rtl w:val="0"/>
              </w:rPr>
              <w:t xml:space="preserve">14.</w:t>
            </w:r>
            <w:r w:rsidR="00000000" w:rsidRPr="00000000" w:rsidDel="00000000">
              <w:rPr>
                <w:rtl w:val="0"/>
              </w:rPr>
              <w:t xml:space="preserve">  punktā minētajiem projekta iesniedzējiem, tad atbildīgā iestāde, aicina vietējās sabiedrības veselības veicināšanas un slimību profilakses pasākumu īstenošanu veikt citam šo noteikumu </w:t>
            </w:r>
            <w:r w:rsidR="00000000" w:rsidRPr="00000000" w:rsidDel="00000000">
              <w:rPr>
                <w:rtl w:val="0"/>
              </w:rPr>
              <w:t xml:space="preserve">​</w:t>
            </w:r>
            <w:r w:rsidR="00000000" w:rsidRPr="00000000" w:rsidDel="00000000">
              <w:rPr>
                <w:rtl w:val="0"/>
              </w:rPr>
              <w:t xml:space="preserve">pielikumu</w:t>
            </w:r>
            <w:r w:rsidR="00000000" w:rsidRPr="00000000" w:rsidDel="00000000">
              <w:rPr>
                <w:rtl w:val="0"/>
              </w:rPr>
              <w:t xml:space="preserve"> minētajam finansējuma saņēmējam, par to savstarpēji vienojoties.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2</w:t>
            </w:r>
            <w:r w:rsidR="00000000" w:rsidRPr="00000000" w:rsidDel="00000000">
              <w:rPr>
                <w:rtl w:val="0"/>
              </w:rPr>
              <w:t xml:space="preserve"> Šo noteikumu </w:t>
            </w:r>
            <w:r w:rsidR="00000000" w:rsidRPr="00000000" w:rsidDel="00000000">
              <w:rPr>
                <w:rtl w:val="0"/>
              </w:rPr>
              <w:t xml:space="preserve">14.</w:t>
            </w:r>
            <w:r w:rsidR="00000000" w:rsidRPr="00000000" w:rsidDel="00000000">
              <w:rPr>
                <w:vertAlign w:val="superscript"/>
                <w:rtl w:val="0"/>
              </w:rPr>
              <w:t xml:space="preserve">1</w:t>
            </w:r>
            <w:r w:rsidR="00000000" w:rsidRPr="00000000" w:rsidDel="00000000">
              <w:rPr>
                <w:rtl w:val="0"/>
              </w:rPr>
              <w:t xml:space="preserve"> punktā minētajā gadījumā atbildīgā iestāde uzaicina šo noteikumu </w:t>
            </w:r>
            <w:r w:rsidR="00000000" w:rsidRPr="00000000" w:rsidDel="00000000">
              <w:rPr>
                <w:rtl w:val="0"/>
              </w:rPr>
              <w:t xml:space="preserve">14.</w:t>
            </w:r>
            <w:r w:rsidR="00000000" w:rsidRPr="00000000" w:rsidDel="00000000">
              <w:rPr>
                <w:rtl w:val="0"/>
              </w:rPr>
              <w:t xml:space="preserve"> punktā minēto finansējuma saņēmēju veikt atbilstošus grozījumus projekta iesniegumā, palielinot projekta summu par  šo noteikuma 43. punktā minētā projekta iesniedzēja plānoto individuālo kopējo attiecināmo finansējumu.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projektā nav 43. punkta, līdz ar to lūdzam precizēt noteikumu 14.</w:t>
            </w:r>
            <w:r w:rsidR="00000000" w:rsidRPr="00000000" w:rsidDel="00000000">
              <w:rPr>
                <w:vertAlign w:val="superscript"/>
                <w:rtl w:val="0"/>
              </w:rPr>
              <w:t xml:space="preserve">2</w:t>
            </w:r>
            <w:r w:rsidR="00000000" w:rsidRPr="00000000" w:rsidDel="00000000">
              <w:rPr>
                <w:rtl w:val="0"/>
              </w:rPr>
              <w:t xml:space="preserve">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2</w:t>
            </w:r>
            <w:r w:rsidR="00000000" w:rsidRPr="00000000" w:rsidDel="00000000">
              <w:rPr>
                <w:rtl w:val="0"/>
              </w:rPr>
              <w:t xml:space="preserve"> Šo noteikumu </w:t>
            </w:r>
            <w:r w:rsidR="00000000" w:rsidRPr="00000000" w:rsidDel="00000000">
              <w:rPr>
                <w:rtl w:val="0"/>
              </w:rPr>
              <w:t xml:space="preserve">14.</w:t>
            </w:r>
            <w:r w:rsidR="00000000" w:rsidRPr="00000000" w:rsidDel="00000000">
              <w:rPr>
                <w:vertAlign w:val="superscript"/>
                <w:rtl w:val="0"/>
              </w:rPr>
              <w:t xml:space="preserve">1</w:t>
            </w:r>
            <w:r w:rsidR="00000000" w:rsidRPr="00000000" w:rsidDel="00000000">
              <w:rPr>
                <w:rtl w:val="0"/>
              </w:rPr>
              <w:t xml:space="preserve"> punktā minētajā gadījumā atbildīgā iestāde uzaicina šo noteikumu </w:t>
            </w:r>
            <w:r w:rsidR="00000000" w:rsidRPr="00000000" w:rsidDel="00000000">
              <w:rPr>
                <w:rtl w:val="0"/>
              </w:rPr>
              <w:t xml:space="preserve">14.</w:t>
            </w:r>
            <w:r w:rsidR="00000000" w:rsidRPr="00000000" w:rsidDel="00000000">
              <w:rPr>
                <w:rtl w:val="0"/>
              </w:rPr>
              <w:t xml:space="preserve"> punktā minēto finansējuma saņēmēju veikt atbilstošus grozījumus projekta iesniegumā, palielinot projekta summu par  šo noteikuma </w:t>
            </w:r>
            <w:r w:rsidR="00000000" w:rsidRPr="00000000" w:rsidDel="00000000">
              <w:rPr>
                <w:rtl w:val="0"/>
              </w:rPr>
              <w:t xml:space="preserve">14.</w:t>
            </w:r>
            <w:r w:rsidR="00000000" w:rsidRPr="00000000" w:rsidDel="00000000">
              <w:rPr>
                <w:vertAlign w:val="superscript"/>
                <w:rtl w:val="0"/>
              </w:rPr>
              <w:t xml:space="preserve">1</w:t>
            </w:r>
            <w:r w:rsidR="00000000" w:rsidRPr="00000000" w:rsidDel="00000000">
              <w:rPr>
                <w:rtl w:val="0"/>
              </w:rPr>
              <w:t xml:space="preserve"> punktā minētā projekta iesniedzēja plānoto individuālo kopējo attiecināmo finansējumu.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Projekta iesniedzējs kopīgi ar sadarbības partneriem (ja attiecināms) sagatavo projekta iesniegumu atbilstoši projektu iesniegumu atlases nolikumā noteiktajām prasībām un iesniedz to sadarbības iestādē, izmantojot Kohēzijas politikas fondu vadības informācijas sistēmu, tai skaitā ar parakstu apliecina projekta iesniedzēja un sadarbības partnera (ja attiecināms) interešu konflikta neesību atbilstoši Eiropas Parlamenta un Padomes 2018. gada 18. jūlija Regulas Nr.  </w:t>
            </w:r>
            <w:r w:rsidR="00000000" w:rsidRPr="00000000" w:rsidDel="00000000">
              <w:rPr>
                <w:rtl w:val="0"/>
              </w:rPr>
              <w:t xml:space="preserve">2018/1046</w:t>
            </w:r>
            <w:r w:rsidR="00000000" w:rsidRPr="00000000" w:rsidDel="00000000">
              <w:rPr>
                <w:rtl w:val="0"/>
              </w:rPr>
              <w:t xml:space="preserve"> par finanšu noteikumiem, ko piemēro Savienības vispārējam budžetam, ar kuru groza Regulas (ES) Nr.  </w:t>
            </w:r>
            <w:r w:rsidR="00000000" w:rsidRPr="00000000" w:rsidDel="00000000">
              <w:rPr>
                <w:rtl w:val="0"/>
              </w:rPr>
              <w:t xml:space="preserve">1296/2013</w:t>
            </w:r>
            <w:r w:rsidR="00000000" w:rsidRPr="00000000" w:rsidDel="00000000">
              <w:rPr>
                <w:rtl w:val="0"/>
              </w:rPr>
              <w:t xml:space="preserve">, (ES) Nr.  </w:t>
            </w:r>
            <w:r w:rsidR="00000000" w:rsidRPr="00000000" w:rsidDel="00000000">
              <w:rPr>
                <w:rtl w:val="0"/>
              </w:rPr>
              <w:t xml:space="preserve">1301/2013</w:t>
            </w:r>
            <w:r w:rsidR="00000000" w:rsidRPr="00000000" w:rsidDel="00000000">
              <w:rPr>
                <w:rtl w:val="0"/>
              </w:rPr>
              <w:t xml:space="preserve">, (ES) Nr.  </w:t>
            </w:r>
            <w:r w:rsidR="00000000" w:rsidRPr="00000000" w:rsidDel="00000000">
              <w:rPr>
                <w:rtl w:val="0"/>
              </w:rPr>
              <w:t xml:space="preserve">1303/2013</w:t>
            </w:r>
            <w:r w:rsidR="00000000" w:rsidRPr="00000000" w:rsidDel="00000000">
              <w:rPr>
                <w:rtl w:val="0"/>
              </w:rPr>
              <w:t xml:space="preserve">, (ES) Nr.  </w:t>
            </w:r>
            <w:r w:rsidR="00000000" w:rsidRPr="00000000" w:rsidDel="00000000">
              <w:rPr>
                <w:rtl w:val="0"/>
              </w:rPr>
              <w:t xml:space="preserve">1304/2013</w:t>
            </w:r>
            <w:r w:rsidR="00000000" w:rsidRPr="00000000" w:rsidDel="00000000">
              <w:rPr>
                <w:rtl w:val="0"/>
              </w:rPr>
              <w:t xml:space="preserve">, (ES) Nr.  </w:t>
            </w:r>
            <w:r w:rsidR="00000000" w:rsidRPr="00000000" w:rsidDel="00000000">
              <w:rPr>
                <w:rtl w:val="0"/>
              </w:rPr>
              <w:t xml:space="preserve">1309/2013</w:t>
            </w:r>
            <w:r w:rsidR="00000000" w:rsidRPr="00000000" w:rsidDel="00000000">
              <w:rPr>
                <w:rtl w:val="0"/>
              </w:rPr>
              <w:t xml:space="preserve">, (ES) Nr.  </w:t>
            </w:r>
            <w:r w:rsidR="00000000" w:rsidRPr="00000000" w:rsidDel="00000000">
              <w:rPr>
                <w:rtl w:val="0"/>
              </w:rPr>
              <w:t xml:space="preserve">1316/2013</w:t>
            </w:r>
            <w:r w:rsidR="00000000" w:rsidRPr="00000000" w:rsidDel="00000000">
              <w:rPr>
                <w:rtl w:val="0"/>
              </w:rPr>
              <w:t xml:space="preserve">, (ES) Nr.  </w:t>
            </w:r>
            <w:r w:rsidR="00000000" w:rsidRPr="00000000" w:rsidDel="00000000">
              <w:rPr>
                <w:rtl w:val="0"/>
              </w:rPr>
              <w:t xml:space="preserve">223/2014</w:t>
            </w:r>
            <w:r w:rsidR="00000000" w:rsidRPr="00000000" w:rsidDel="00000000">
              <w:rPr>
                <w:rtl w:val="0"/>
              </w:rPr>
              <w:t xml:space="preserve">, (ES) Nr.  </w:t>
            </w:r>
            <w:r w:rsidR="00000000" w:rsidRPr="00000000" w:rsidDel="00000000">
              <w:rPr>
                <w:rtl w:val="0"/>
              </w:rPr>
              <w:t xml:space="preserve">283/2014</w:t>
            </w:r>
            <w:r w:rsidR="00000000" w:rsidRPr="00000000" w:rsidDel="00000000">
              <w:rPr>
                <w:rtl w:val="0"/>
              </w:rPr>
              <w:t xml:space="preserve"> un Lēmumu Nr. 541/2014/ES un atceļ Regulu (ES, </w:t>
            </w:r>
            <w:r w:rsidR="00000000" w:rsidRPr="00000000" w:rsidDel="00000000">
              <w:rPr>
                <w:i w:val="1"/>
                <w:rtl w:val="0"/>
              </w:rPr>
              <w:t xml:space="preserve">Euratom</w:t>
            </w:r>
            <w:r w:rsidR="00000000" w:rsidRPr="00000000" w:rsidDel="00000000">
              <w:rPr>
                <w:rtl w:val="0"/>
              </w:rPr>
              <w:t xml:space="preserve">) Nr. 966/2012, 61. pantam.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2024. gada 30. septembrī stājusies spēkā Eiropas Parlamenta un Padomes 2024. gada 23. septembra Regula (ES, Euratom) 2024/2509 par finanšu noteikumiem, ko piemēro Savienības vispārējam budžetam (pārstrādāta redakcija) (turpmāk - Regula 2024/2509). Saskaņā ar Regulas 2024/2509 279. pantu tā atceļ iepriekšējo “Finanšu regulu” – Eiropas Parlamenta un Padomes 2018. gada 18. jūlija Regula (ES, Euratom)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Aicinām atbilstoši precizēt atsauci noteikumu 20.punktā un 37.2. apakšpunktā. Vēršam uzmanību, ka saskaņā ar Regulas 2024/2509 279. pantu atsauces uz atcelto regulu uzskata par atsaucēm uz Regulu 2024/2509, un tās lasa saskaņā ar atbilstības tabulu Regulas 2024/2509 II pielikumā.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MK noteikumu grozījumu konsolidētās versijas  20.punktā un 37.2. apakšpunktā.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Projekta iesniedzējs kopīgi ar sadarbības partneriem (ja attiecināms) sagatavo projekta iesniegumu atbilstoši projektu iesniegumu atlases nolikumā noteiktajām prasībām un iesniedz to sadarbības iestādē, izmantojot Kohēzijas politikas fondu vadības informācijas sistēmu, tai skaitā ar parakstu apliecina projekta iesniedzēja un sadarbības partnera (ja attiecināms) interešu konflikta neesību atbilstoši pasākuma īstenošanas laikā nodrošina interešu konflikta neesību saskaņā ar Eiropas Parlamenta un Padomes 2024. gada 23. septembra Regulas (ES, Euratom) 2024/2509 par finanšu noteikumiem, ko piemēro Savienības vispārējam budžetam (pārstrādāta redakcija), 61. pantu.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25-TA-115</w:t>
    </w:r>
    <w:r>
      <w:br/>
    </w:r>
    <w:r w:rsidR="00000000" w:rsidRPr="00000000" w:rsidDel="00000000">
      <w:rPr>
        <w:rtl w:val="0"/>
      </w:rPr>
      <w:t xml:space="preserve">14.02.2025. 15.31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25-TA-115</w:t>
    </w:r>
    <w:r>
      <w:br/>
    </w:r>
    <w:r w:rsidR="00000000" w:rsidRPr="00000000" w:rsidDel="00000000">
      <w:rPr>
        <w:rtl w:val="0"/>
      </w:rPr>
      <w:t xml:space="preserve">14.02.2025. 15.31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Izziņa_25-TA-115.docx</dc:title>
</cp:coreProperties>
</file>

<file path=docProps/custom.xml><?xml version="1.0" encoding="utf-8"?>
<Properties xmlns="http://schemas.openxmlformats.org/officeDocument/2006/custom-properties" xmlns:vt="http://schemas.openxmlformats.org/officeDocument/2006/docPropsVTypes"/>
</file>