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23-TA-876: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Iekšlietu ministrijai (Valsts policijai) nodot Ukrainai (Ukrainas Nacionālajai policijai, Ukrainas Aizsardzības ministrijai un Ukrainas Nacionālās Gvardes uzdevumu vienībai) bez atlīdzības šādu valsts kustamo mantu: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rīkojuma projekta 1. punktu papildinot to ar nododamās valsts kustamās mantas kopējo bilances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Iekšlietu ministrijai (Valsts policijai) nodot Ukrainai (Ukrainas Nacionālajai policijai, Ukrainas Aizsardzības ministrijai un Ukrainas Nacionālās Gvardes uzdevumu vienībai) bez atlīdzības šādu valsts kustamo mantu (kopējā bilances vērtība 28422,64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transportlīdzekļus </w:t>
            </w:r>
            <w:r w:rsidR="00000000" w:rsidRPr="00000000" w:rsidDel="00000000">
              <w:rPr>
                <w:i w:val="1"/>
                <w:rtl w:val="0"/>
              </w:rPr>
              <w:t xml:space="preserve">Opel Combo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1.5.apakšpunktu, tajā norādot nododamo transportlīdzekļu </w:t>
            </w:r>
            <w:r w:rsidR="00000000" w:rsidRPr="00000000" w:rsidDel="00000000">
              <w:rPr>
                <w:i w:val="1"/>
                <w:rtl w:val="0"/>
              </w:rPr>
              <w:t xml:space="preserve">Opel Combo</w:t>
            </w:r>
            <w:r w:rsidR="00000000" w:rsidRPr="00000000" w:rsidDel="00000000">
              <w:rPr>
                <w:rtl w:val="0"/>
              </w:rPr>
              <w:t xml:space="preserve">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1.5.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desmit transportlīdzekļus </w:t>
            </w:r>
            <w:r w:rsidR="00000000" w:rsidRPr="00000000" w:rsidDel="00000000">
              <w:rPr>
                <w:i w:val="1"/>
                <w:rtl w:val="0"/>
              </w:rPr>
              <w:t xml:space="preserve">Opel Combo </w:t>
            </w:r>
            <w:r w:rsidR="00000000" w:rsidRPr="00000000" w:rsidDel="00000000">
              <w:rPr>
                <w:rtl w:val="0"/>
              </w:rPr>
              <w:t xml:space="preserve">ar aprīkojumu;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2006.gada 25.jūlija noteikumu Nr.618 "Kārtība, kādā valsts kustamo mantu nodod bez atlīdzības ārvalstu valdību un starpvalstu organizāciju īpašumā" 3.un 4.punktam valsts kustamo mantu nodod bez atlīdzības ārvalstu valdību vai starp­valstu organizāciju īpašumā, slēdzot rakstveida līgumu un tikai gadījumā, ja objektīvu iemeslu dēļ nav iespējams noslēgt minēto līgumu, valsts kustamo mantu var nodot bez atlīdzības ārvalstu valdību vai starpvalstu organizāciju īpašumā, noformējot citus valsts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2023.gada 28.marta noteikumu Nr.136 "Grozījumi Ministru kabineta 2006.gada 25.jūlija noteikumos Nr.618 "Kārtība, kādā valsts kustamo mantu nodod bez atlīdzības ārvalstu valdību un starpvalstu organizāciju īpašumā"" sākotnējās ietekmes novērtējuma ziņojuma (anotācijas) 1.sadaļas 1.3.punktā norādītajam "jāņem vērā, ka kustamās mantas nodošana, noformējot citus kustamās mantas nodošanu un pieņemšanu apliecinošus dokumentus, ir izņēmums no vispārējās mantas nodošanas kārtības, un </w:t>
            </w:r>
            <w:r w:rsidR="00000000" w:rsidRPr="00000000" w:rsidDel="00000000">
              <w:rPr>
                <w:u w:val="single"/>
                <w:rtl w:val="0"/>
              </w:rPr>
              <w:t xml:space="preserve">attiecīgā Ministru kabineta rīkojuma anotācijā ir pēc iespējas jānorāda uz objektīviem apstākļiem, kas liedz noslēgt rakstveida līgumu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rīkojuma projekta anotācijas attiecīgo sadaļu ar informāciju par objektīviem apstākļiem, kuru dēļ konkrētajā gadījumā nebūtu iespējams noslēgt rakstveida līgumu par valsts kustamās mantas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praksē ir bijuši arī gadījumi, kad par valsts kustamās mantas nodošanu Ukrainai ir slēgts rakstveida līgums (sk.piemēram, Ministru kabineta 2022.gada 21.decembra rīkojumu Nr.961 "Par valsts kustamās mantas nodošanu bez atlīdzības Ukrainai"), līdz ar to ir iespējami arī gadījumi, kad par valsts kustamās mantas nodošanu Ukrainai ir iespēja noslēgt rakstveida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1.6. punkts ar papildus skaidrojumu. Iekšlietu ministrijas ieskatā apstāklis, ka Ukrainā notiek aktīva karadarbība ir ārkārtas situācija, kādēļ valsts kustamo mantu ir nepieciešams nodot pēc iespējas ātrāk. Attiecīga līguma izstrāde, tulkošana un saskaņošana prasītu ievērojamu laiku, taču Ukrainai palīdzību ir nepieciešams saņemt pēc iespējas ātrāk.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kustamās mantas nodošanu bez atlīdzības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rīkojuma projektu ar jaunu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 rīkojuma 1. punktā minētās valsts kustamās mantas transportēšanu saistītos izdevumus segt no Iekšlietu ministrijai valsts budžeta apakšprogrammā 06.01.00 "Valsts policija" piešķirtajiem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kustamās mantas transportēšanas izdevumus sedz Fonds </w:t>
            </w:r>
            <w:r w:rsidR="00000000" w:rsidRPr="00000000" w:rsidDel="00000000">
              <w:rPr>
                <w:i w:val="1"/>
                <w:rtl w:val="0"/>
              </w:rPr>
              <w:t xml:space="preserve">Entrepreneurs for Peace. </w:t>
            </w:r>
            <w:r w:rsidR="00000000" w:rsidRPr="00000000" w:rsidDel="00000000">
              <w:rPr>
                <w:rtl w:val="0"/>
              </w:rPr>
              <w:t xml:space="preserve">Ar attiecīgu skaidrojumu papildināta anotācijas 3. sadaļa "Budžets".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kustamās mantas nodošanu bez atlīdzības Ukrainai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policijas atbildīgajai amatpersonai parakstīt nodošanas un pieņemšanas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2006. gada 25. jūlija noteikumu Nr. 618 "Kārtība, kādā valsts kustamo mantu nodod bez atlīdzības ārvalstu valdību un starpvalstu valdību organizāciju īpašumā" 5. punktā noteikto, lūdzam papildināt projekta 4. punktu ar uzdevumu Valsts policijas priekšniekam apstiprināt projekta 3. punktā minēto nodošanas un pieņemšanas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policijas atbildīgajai amatpersonai parakstīt nodošanas un pieņemšanas aktu. Valsts policijas priekšniekam apstiprināt parakstīto nodošanas un pieņemšanas aktu.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anotācijas pārskatāmību lūdzam sadaļas 1.3. punktā “Risinājuma apraksts” norādītās Ukrainai nodomās valts kustamās mantas pozīcijas pārlikt uz anotācijas pielikumu. Anotācijā norādot tikai kopējo bilances vērtību un atsauci uz anotācijas pielikumu, kur detalizēti tiek uzskaitītas visas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Nododomās kustamās mantas saraksts pievienots anotācijas pielikumā.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1.22.apakšpunktam Ukrainai bez atlīdzības paredzēts nodot arī valsts kustamo mantu - degvielu (iepildītu transportlīdzekļos, elektrostacijā un ģeneratoros), taču rīkojuma projekta anotācijā par degvielu ir norādīta vērtība, nenorādot, vai tā ir bilances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2006.gada 25.jūlija noteikumu Nr.618 "Kārtība, kādā valsts kustamo mantu nodod bez atlīdzības ārvalstu valdību un starpvalstu organizāciju īpašumā" 2.punktam rīkojuma projekta sākotnējās ietekmes (ex-ante) novērtējuma ziņojumā (anotācija) iekļauj informāciju par nododamo valsts kustamo mantu, tās apjomu, tehnisko stāvokli, </w:t>
            </w:r>
            <w:r w:rsidR="00000000" w:rsidRPr="00000000" w:rsidDel="00000000">
              <w:rPr>
                <w:u w:val="single"/>
                <w:rtl w:val="0"/>
              </w:rPr>
              <w:t xml:space="preserve">bilances vērtību</w:t>
            </w:r>
            <w:r w:rsidR="00000000" w:rsidRPr="00000000" w:rsidDel="00000000">
              <w:rPr>
                <w:rtl w:val="0"/>
              </w:rPr>
              <w:t xml:space="preserve"> un pamatojumu nodošanai ārvalstu valdību vai starpvalstu organizāciju īpašumā. Tādējādi, nododot degvielu Ukrainai kā valsts kustamo mantu, anotācijā nepieciešams precizēt, ka tā ir </w:t>
            </w:r>
            <w:r w:rsidR="00000000" w:rsidRPr="00000000" w:rsidDel="00000000">
              <w:rPr>
                <w:u w:val="single"/>
                <w:rtl w:val="0"/>
              </w:rPr>
              <w:t xml:space="preserve">bilances </w:t>
            </w:r>
            <w:r w:rsidR="00000000" w:rsidRPr="00000000" w:rsidDel="00000000">
              <w:rPr>
                <w:rtl w:val="0"/>
              </w:rPr>
              <w:t xml:space="preserve">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Degvielas bilances vērtība norādīta anotācijas pielikumā.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1.1.-1.18.apakšpunktā norādītajam Ukrainai bez atlīdzības paredzēts nodot 50 transportlīdzekļus, savukārt no rīkojuma projekta anotācijā norādītās informācijas secināms, ka vienlaikus paredzēts nodot arī attiecīgo transportlīdzekļu aprīkojumu (dažāda veida kustamo mantu).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skaidrību par valsts kustamo mantu, kuru paredzēts nodot Ukrainai, lūdzam izvērtēt, vai rīkojuma projekta attiecīgajos apakšpunktos nebūtu jāprecizē, ka tiek nodoti transportlīdzekļi kopā ar aprīkojumu vai arī precizēt rīkojuma projekta anotāciju, norādot, ka atbilstoši Civillikuma 850.pantam transportlīdzeklis uzskatāms pa galveno lietu, savukārt tā aprīkojums par blakus lietu, attiecīgi Ukrainai bez atlīdzības tiek nodota galvenā lieta ar tai piederošajām blakus lietām.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23-TA-876</w:t>
    </w:r>
    <w:r>
      <w:br/>
    </w:r>
    <w:r w:rsidR="00000000" w:rsidRPr="00000000" w:rsidDel="00000000">
      <w:rPr>
        <w:rtl w:val="0"/>
      </w:rPr>
      <w:t xml:space="preserve">18.04.2023. 12.06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23-TA-876</w:t>
    </w:r>
    <w:r>
      <w:br/>
    </w:r>
    <w:r w:rsidR="00000000" w:rsidRPr="00000000" w:rsidDel="00000000">
      <w:rPr>
        <w:rtl w:val="0"/>
      </w:rPr>
      <w:t xml:space="preserve">18.04.2023. 12.06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Izziņa_23-TA-876.docx</dc:title>
</cp:coreProperties>
</file>

<file path=docProps/custom.xml><?xml version="1.0" encoding="utf-8"?>
<Properties xmlns="http://schemas.openxmlformats.org/officeDocument/2006/custom-properties" xmlns:vt="http://schemas.openxmlformats.org/officeDocument/2006/docPropsVTypes"/>
</file>