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22-TA-2269: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1. aprīļa noteikumos Nr. 199 "Valsts uzraudzībā esošās dzīvnieku infekcijas slimības vai epizootijas uzliesmojuma laikā radušos zaudējumu kompensācijas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noteikumu projekta "Grozījumi Ministru kabineta 2021. gada 1. aprīļa noteikumos Nr. 199 "Valsts uzraudzībā esošās dzīvnieku infekcijas slimības vai epizootijas uzliesmojuma laikā radušos zaudējumu kompensācijas noteikumi"" (turpmāk – projekts) sākotnējās ietekmes </w:t>
            </w:r>
            <w:r w:rsidR="00000000" w:rsidRPr="00000000" w:rsidDel="00000000">
              <w:rPr>
                <w:i w:val="1"/>
                <w:rtl w:val="0"/>
              </w:rPr>
              <w:t xml:space="preserve">(ex-ante)</w:t>
            </w:r>
            <w:r w:rsidR="00000000" w:rsidRPr="00000000" w:rsidDel="00000000">
              <w:rPr>
                <w:rtl w:val="0"/>
              </w:rPr>
              <w:t xml:space="preserve"> novērtējuma ziņojumā (turpmāk – anotācija) 1.3. apakšsadaļā ietvertās atsauces uz konkrētiem Eiropas Savienības tiesību aktiem un dokumentiem (sk. citstarp norādi, ka "</w:t>
            </w:r>
            <w:r w:rsidR="00000000" w:rsidRPr="00000000" w:rsidDel="00000000">
              <w:rPr>
                <w:i w:val="1"/>
                <w:rtl w:val="0"/>
              </w:rPr>
              <w:t xml:space="preserve">Noteikumi Nr. 199 jāpapildina ar 10.</w:t>
            </w:r>
            <w:r w:rsidR="00000000" w:rsidRPr="00000000" w:rsidDel="00000000">
              <w:rPr>
                <w:i w:val="1"/>
                <w:vertAlign w:val="superscript"/>
                <w:rtl w:val="0"/>
              </w:rPr>
              <w:t xml:space="preserve">1</w:t>
            </w:r>
            <w:r w:rsidR="00000000" w:rsidRPr="00000000" w:rsidDel="00000000">
              <w:rPr>
                <w:i w:val="1"/>
                <w:rtl w:val="0"/>
              </w:rPr>
              <w:t xml:space="preserve"> punktu, kurā nosakāmas uz noslēguma dezinfekciju attiecināmās izmaksas,</w:t>
            </w:r>
            <w:r w:rsidR="00000000" w:rsidRPr="00000000" w:rsidDel="00000000">
              <w:rPr>
                <w:i w:val="1"/>
                <w:u w:val="single"/>
                <w:rtl w:val="0"/>
              </w:rPr>
              <w:t xml:space="preserve"> pamatojoties uz Eiropas Komisijas vadlīnijās noteikto</w:t>
            </w:r>
            <w:r w:rsidR="00000000" w:rsidRPr="00000000" w:rsidDel="00000000">
              <w:rPr>
                <w:rtl w:val="0"/>
              </w:rPr>
              <w:t xml:space="preserve">"), lūdzam izvērtēt, vai kādā projekta normā vai normās ir ieviestas vai pārņemtas konkrētas Eiropas Savienības tiesību aktu vai dokumentu prasības, un nepieciešamības gadījumā saskaņā ar Ministru kabineta 2021. gada 7. septembra noteikumu Nr. 617 "Tiesību akta projekta sākotnējās ietekmes izvērtēšanas kārtība" 9.19. apakšpunktu aizpildīt anotācijas 5. sadaļu, tostarp 5.4. apakšsadaļas 1. tabulu (attiecībā uz regulas prasību ieviešanu, kā arī lēmuma normu pārņemšanu), kā arī 5.3. apakšsadaļu (attiecībā uz vadlīnijām). Aicinām norādīt konkrētas Eiropas Savienības tiesību aktu vai dokumentu vienības arī anotācijas 1.3. apakšsadaļā.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Persona 10 darbdienu laikā pēc noslēguma dezinfekcijas pabeigšanas vai sākotnējās dezinfekcijas pabeigšanas, ja noslēguma dezinfekciju neveic, iesniedz Lauku atbalsta dienestā iesniegumu par zaudējumu kompensāciju, tīmekļvietnē www.lad.gov.lv ievietoto veidlapu aizpildot vienā no šādiem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elektroniskās pieteikšanās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papīra formā.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nav skaidrs, kas ir Ministru kabineta noteikumu projekta "Grozījumi Ministru kabineta 2021. gada 1. aprīļa noteikumos Nr. 199 "Valsts uzraudzībā esošās dzīvnieku infekcijas slimības vai epizootijas uzliesmojuma laikā radušos zaudējumu kompensācijas noteikumi"" (turpmāk – projekts) 11. punktā paredzētajā Ministru kabineta 2021. gada 1. aprīļa noteikumu Nr. 199 "Valsts uzraudzībā esošās dzīvnieku infekcijas slimības vai epizootijas uzliesmojuma laikā radušos zaudējumu kompensācijas noteikumi" (turpmāk – noteikumi) 16. punktā minētā </w:t>
            </w:r>
            <w:r w:rsidR="00000000" w:rsidRPr="00000000" w:rsidDel="00000000">
              <w:rPr>
                <w:u w:val="single"/>
                <w:rtl w:val="0"/>
              </w:rPr>
              <w:t xml:space="preserve">veidlapa, kas pieejama tīmekļvietnē www.lad.gov.lv</w:t>
            </w:r>
            <w:r w:rsidR="00000000" w:rsidRPr="00000000" w:rsidDel="00000000">
              <w:rPr>
                <w:rtl w:val="0"/>
              </w:rPr>
              <w:t xml:space="preserve">. Proti, </w:t>
            </w:r>
            <w:r w:rsidR="00000000" w:rsidRPr="00000000" w:rsidDel="00000000">
              <w:rPr>
                <w:u w:val="single"/>
                <w:rtl w:val="0"/>
              </w:rPr>
              <w:t xml:space="preserve">lai personai noteiktu saistošu regulējumu, tam jābūt paredzētam ārējā normatīvajā aktā</w:t>
            </w:r>
            <w:r w:rsidR="00000000" w:rsidRPr="00000000" w:rsidDel="00000000">
              <w:rPr>
                <w:rtl w:val="0"/>
              </w:rPr>
              <w:t xml:space="preserve">. Savukārt atbilstoši Valsts pārvaldes iekārtas likuma 72. panta ceturtajā daļā noteiktajam i</w:t>
            </w:r>
            <w:r w:rsidR="00000000" w:rsidRPr="00000000" w:rsidDel="00000000">
              <w:rPr>
                <w:u w:val="single"/>
                <w:rtl w:val="0"/>
              </w:rPr>
              <w:t xml:space="preserve">ekšējais normatīvais akts ir saistošs iestādei (tās struktūrvienībai, darbiniekiem) vai amatpersonām, attiecībā uz kurām tas izdots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atkārtoti vēršam uzmanību uz to, ka Administratīvā procesa likuma 56. panta pirmā daļa noteic, ka </w:t>
            </w:r>
            <w:r w:rsidR="00000000" w:rsidRPr="00000000" w:rsidDel="00000000">
              <w:rPr>
                <w:u w:val="single"/>
                <w:rtl w:val="0"/>
              </w:rPr>
              <w:t xml:space="preserve">iesniegumu var iesniegt mutvārdos vai rakstveidā, arī elektroniski bez droša elektroniskā paraksta, ja iestāde nodrošina, ka fiziskās personas identitāte ir pārbaudīta saskaņā ar Fizisko personu elektroniskās identifikācijas likumu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atkārtoti vēršam uzmanību uz to, ka Administratīvā procesa likuma 3. panta pirmā daļa noteic, ka </w:t>
            </w:r>
            <w:r w:rsidR="00000000" w:rsidRPr="00000000" w:rsidDel="00000000">
              <w:rPr>
                <w:u w:val="single"/>
                <w:rtl w:val="0"/>
              </w:rPr>
              <w:t xml:space="preserve">šo likumu piemēro administratīvajā procesā iestādē, ciktāl citu likumu speciālajās tiesību normās nav noteikta cita kārtība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 nepieciešams paredzēt citādāku regulējumu par iesniegumu iesniegšanu nekā to paredz Administratīvā procesa likuma 56. panta pirmā daļa, šāds regulējums jāietver Veterinārmedicīnas likumā, vienlaikus attiecīgi pamatojot šāda regulējuma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11. punktā paredzētajā noteikumu 16. punktā ietverto regulējumu un projekta sākotnējās ietekmes </w:t>
            </w:r>
            <w:r w:rsidR="00000000" w:rsidRPr="00000000" w:rsidDel="00000000">
              <w:rPr>
                <w:i w:val="1"/>
                <w:rtl w:val="0"/>
              </w:rPr>
              <w:t xml:space="preserve">(ex-ante)</w:t>
            </w:r>
            <w:r w:rsidR="00000000" w:rsidRPr="00000000" w:rsidDel="00000000">
              <w:rPr>
                <w:rtl w:val="0"/>
              </w:rPr>
              <w:t xml:space="preserve"> novērtējuma ziņojumā (anotācijā)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Persona iesniegumu par zaudējumu kompensāciju iesniedz Lauku atbalsta dienesta elektroniskās pieteikšanās sistēmā 10 darbdienu laikā pēc noslēguma dezinfekcijas pabeigšanas vai sākotnējās dezinfekcijas pabeigšanas, ja noslēguma dezinfekciju neveic.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56. panta pirmā daļa noteic, ka </w:t>
            </w:r>
            <w:r w:rsidR="00000000" w:rsidRPr="00000000" w:rsidDel="00000000">
              <w:rPr>
                <w:u w:val="single"/>
                <w:rtl w:val="0"/>
              </w:rPr>
              <w:t xml:space="preserve">iesniegumu var iesniegt mutvārdos vai rakstveidā, arī elektroniski bez droša elektroniskā paraksta, ja iestāde nodrošina, ka fiziskās personas identitāte ir pārbaudīta saskaņā ar Fizisko personu elektroniskās identifikācijas likumu</w:t>
            </w:r>
            <w:r w:rsidR="00000000" w:rsidRPr="00000000" w:rsidDel="00000000">
              <w:rPr>
                <w:rtl w:val="0"/>
              </w:rPr>
              <w:t xml:space="preserve">. Iesniegumā norādāms iesniedzēja vārds un uzvārds, dzīvesvieta (juridiskajai personai – nosaukums, adrese, reģistrācijas numurs), prasījums; uz tā jābūt iesniedzēja parakstam. Mutvārdu iesniegumu iestāde tūlīt noformē rakstveidā, un iesniedzējs to paraksta.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Administratīvā procesa likuma 3. panta pirmā daļa noteic, ka </w:t>
            </w:r>
            <w:r w:rsidR="00000000" w:rsidRPr="00000000" w:rsidDel="00000000">
              <w:rPr>
                <w:u w:val="single"/>
                <w:rtl w:val="0"/>
              </w:rPr>
              <w:t xml:space="preserve">šo likumu piemēro administratīvajā procesā iestādē, ciktāl citu likumu speciālajās tiesību normās nav noteikta cita kārtība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 nepieciešams paredzēt, ka iesniegumu par zaudējumu kompensāciju var iesniegt tikai Lauku atbalsta dienesta elektroniskās pieteikšanās sistēmā, šāds regulējums jāietver Veterinārmedicīnas likumā, vienlaikus attiecīgi pamatojot šāda regulējuma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ietvertās informācijas neizriet, ka projekta 7. punktā paredzētajā Ministru kabineta 2021. gada 1. aprīļa noteikumus Nr. 199 "Valsts uzraudzībā esošās dzīvnieku infekcijas slimības vai epizootijas uzliesmojuma laikā radušos zaudējumu kompensācijas noteikumi" (turpmāk – noteikumi) 16. punktā ietvertais regulējums atbilst kādai Veterinārmedicīnas likuma tiesību normai.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7. punktā paredzētajā noteikumu 16. punktā ietverto regulējumu vai papildināt anotāciju ar izvērstu skaidrojumu par to, no kuras Veterinārmedicīnas likuma tiesību normas izriet Ministru kabineta tiesības noteikt citādāku regulējumu, nekā to paredz Administratīvā procesa likums, proti, noteikt, ka persona var iesniegt iesniegumu par zaudējumu kompensāciju tikai Lauku atbalsta dienesta elektroniskās pieteikšanās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Pārtikas un veterinārais dienests un Lauku atbalsta dienests fizisko personu datus apstrādā saskaņā ar Fizisko personu datu apstrādes likuma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fizisko personu datu apstrādi publiska persona var veikt, ja ir ievēroti visi Vispārīgās datu aizsardzības regulas 5. pantā minētie personas datu apstrādes principi un ir piemērojams Vispārīgās datu aizsardzības regulas 6. panta 1. punkta c) vai e) apakšpunktā minētais tiesiskais pamats. Saskaņā ar Vispārīgās datu aizsardzības regulas 6. panta 3. punktu, personas datu apstrādes tiesiskais pamats un citi nosacījumi, lai piemērotu šīs regulas nosacījumu īstenošanu, ir nosakāmi Eiropas Savienības vai nacionālā normatīvā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personas datu apstrādes principiem ir glabāšanas ierobežojuma princips, kas nosaka, ka personas dati tiek glabāti veidā, kas pieļauj datu subjektu identifikāciju, ne ilgāk kā nepieciešams nolūkiem, kādos attiecīgos personas datus apstrādā; personas datus var glabāt ilgāk, ciktāl personas datus apstrādās tikai arhivēšanas nolūkos sabiedrības interesēs, zinātniskās vai vēstures pētniecības nolūkos, vai statistikas nolūkos saskaņā ar 89. panta 1. punktu, ar noteikumu, ka tiek īstenoti atbilstoši tehniski un organizatoriski pasākumi, kas šajā regulā paredzēti, lai aizsargātu datu subjekta tiesības un brīvības.  Ņemot vērā minēto un to, ka Fizisko personu datu apstrādes likums nenosaka fizisko personu datu apstrādes nolūku un glabāšanas termiņu noteikumos minētajai personas datu apstrādei, Datu valsts inspekcija neatbalsta veiktos grozījumus noteikumu  21. un 22.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Pārtikas un veterinārais dienests un Lauku atbalsta dienests fizisko personu datus apstrādā saskaņā ar Fizisko personu datu apstrādes likuma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Eiropas Parlamenta un Padomes 2016. gada 27. aprīļa Regulas (ES) 2016/679 par fizisku personu aizsardzību attiecībā uz personas datu apstrādi un šādu datu brīvu apriti un ar ko atceļ Direktīvu 95/46/EK (Vispārīgā datu aizsardzības regula) (turpmāk - Datu regula) piemērošana tika uzsākta 2018. gada 25. maijā. Ņemot vērā, ka Datu regula satur deleģējumu dalībvalstīm veidot normatīvo regulējumu attiecīgajā jomā arī nacionālajā līmenī un satur noteiktus uzdevumus dalībvalstīm sevišķus noteikumus noteikt nacionālajos normatīvajos aktos, tika izstrādāts un 2018.gada 21.jūnijā stājās spēkā Fizisko personu datu apstrādes likums. Līdz ar to likumā ir atrunāti noteikumi, kuri ir nepieciešami Regulas piemērošanas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Vēlamies norādīt, ka Datu regula nosaka vispārīgus principus un pamata noteikumus personas datu aizsardzības jomā, savukārt nacionālais regulējums ir nepieciešams, lai noteiktu sevišķus noteikumus, ko paredz Datu regula un nodrošinātu Datu regulas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regulas 6. panta 3. punktā noteikts, ka šā panta 1. punkta c) un e) apakšpunktā minēto apstrādes pamatu nosaka ar dalībvalsts tiesību aktiem, kas piemērojami pārzinim. Apstrādes nolūku nosaka minētajā juridiskajā pamatā vai – attiecībā uz 1. punkta e) apakšpunktā minēto apstrādi – tas ir vajadzīgs, lai izpildītu uzdevumu, ko veic sabiedrības interesēs vai īstenojot pārzinim likumīgi piešķirtās oficiālās pilnvaras. Minētajā juridiskajā pamatā var būt ietverti konkrēti noteikumi, lai pielāgotu šīs regulas noteikumu piemērošanu, cita starpā vispārēji nosacījumi, kas reglamentē pārziņa īstenotu apstrādes likumību; apstrādājamo datu veidi; attiecīgie datu subjekti; vienības, kurām personas dati var tikt izpausti, un mērķi, kādiem tie var tikt izpausti; apstrādes nolūka ierobežojumi; glabāšanas termiņi; un apstrādes darbības un apstrādes procedūras, tostarp pasākumi, lai nodrošinātu likumīgu un godprātīgu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Jānorāda, ka arī Fizisko personu datu apstrādes likuma anotācijā ir sniegts skaidrojums, ka dalībvalsts savos nacionālajos normatīvajos aktos var noteikt datus apstrādes regulējumu, ko veic valsts institūcijas, veidojot un uzturot valsts informācijas sistēmas, kā arī veicot personas datu apstrādi. Līdz ar to katras nozares normatīvajos aktos būtu jānosaka minētais datu apstrādes regulējums. Minētais attiecās uz visiem nozaru normatīvajiem aktiem. Ministru kabineta noteikumu līmenī tiek atrunāti konkrēti apstrādājamo datu veidi, apjoms, specifiskie datu glabāšanas termiņi, institūciju piekļuves tiesības, datu apjoms, ko iegūst katra institūcija. Spēkā esošie normatīvo aktu noteikumi ir saistoši visiem pārziņiem, līdz tie netiek mainīti vai atcelti.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tiesiskajam pamatam un personas datu apstrādes nolūkam būtu jātiek noteiktam ar likumdevēja pieņemtu normatīvo aktu, kas konkrētajā gadījumā ir jau izdarīts noteikumu 21. un 22.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Anotācijā ir norādīts, ka noteikumu 21. un 22. punkts dublē Datu regulas, Personas datu apstrādes likumā (</w:t>
            </w:r>
            <w:r w:rsidR="00000000" w:rsidRPr="00000000" w:rsidDel="00000000">
              <w:rPr>
                <w:i w:val="1"/>
                <w:rtl w:val="0"/>
              </w:rPr>
              <w:t xml:space="preserve">droši vien bija domāts, Fizisko personu datu apstrādes likums</w:t>
            </w:r>
            <w:r w:rsidR="00000000" w:rsidRPr="00000000" w:rsidDel="00000000">
              <w:rPr>
                <w:rtl w:val="0"/>
              </w:rPr>
              <w:t xml:space="preserve">), Oficiālās elektroniskās adreses likumā, Arhīvu likumā un Ministru kabineta 2012. gada 6. novembra noteikumos Nr. 748 "Dokumentu un arhīvu pārvaldības noteikumi"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iepriekš minēto, ierosinām vai nu atstāt negrozītu noteikumu 21. un 22. punktu, vai nu sniegt izsmeļošu skaidrojumu anotācijā, precīzi norādot, kuras normas un kādos normatīvajos aktos tiek dublētas.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cita starpā norādīts: </w:t>
            </w:r>
            <w:r w:rsidR="00000000" w:rsidRPr="00000000" w:rsidDel="00000000">
              <w:rPr>
                <w:i w:val="1"/>
                <w:rtl w:val="0"/>
              </w:rPr>
              <w:t xml:space="preserve">"Administratīvā pārkāpuma uzsākšanas mērķis, pamatojoties uz Administratīvās atbildības likumā noteikto, ir veicināt tiesību normu labprātīgu ievērošanu un personas audzināšanu likuma ievērošanas garā, savukārt iestādes pašmērķis ir </w:t>
            </w:r>
            <w:r w:rsidR="00000000" w:rsidRPr="00000000" w:rsidDel="00000000">
              <w:rPr>
                <w:b w:val="1"/>
                <w:i w:val="1"/>
                <w:rtl w:val="0"/>
              </w:rPr>
              <w:t xml:space="preserve">nevis personu</w:t>
            </w:r>
            <w:r w:rsidR="00000000" w:rsidRPr="00000000" w:rsidDel="00000000">
              <w:rPr>
                <w:i w:val="1"/>
                <w:rtl w:val="0"/>
              </w:rPr>
              <w:t xml:space="preserve">, bet gan nodrošināt, ka tiek novērsts novēršamais pārkāpums jeb neatbilstība."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precizēt anotāciju, ierakstot iztrūkstošo darbības vārdu.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Zaudējumus par noslēguma dezinfekciju kompensē 80 procentu apmērā no šo noteikumu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minētajām attiecināmām izmaksām, bet ne vairāk kā 4,27 </w:t>
            </w:r>
            <w:r w:rsidR="00000000" w:rsidRPr="00000000" w:rsidDel="00000000">
              <w:rPr>
                <w:i w:val="1"/>
                <w:rtl w:val="0"/>
              </w:rPr>
              <w:t xml:space="preserve">euro</w:t>
            </w:r>
            <w:r w:rsidR="00000000" w:rsidRPr="00000000" w:rsidDel="00000000">
              <w:rPr>
                <w:rtl w:val="0"/>
              </w:rPr>
              <w:t xml:space="preserve"> uz vienu kvadrātmetru</w:t>
            </w:r>
            <w:r w:rsidR="00000000" w:rsidRPr="00000000" w:rsidDel="00000000">
              <w:rPr>
                <w:sz w:val="20"/>
                <w:rtl w:val="0"/>
              </w:rPr>
              <w:t xml:space="preserve"> </w:t>
            </w:r>
            <w:r w:rsidR="00000000" w:rsidRPr="00000000" w:rsidDel="00000000">
              <w:rPr>
                <w:rtl w:val="0"/>
              </w:rPr>
              <w:t xml:space="preserve">no dzīvnieku novietnes grīdas vai akvakultūras audzētavas baseina platības.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Veterinārmedicīnas likumā tiek lietots termins "d</w:t>
            </w:r>
            <w:r w:rsidR="00000000" w:rsidRPr="00000000" w:rsidDel="00000000">
              <w:rPr>
                <w:u w:val="single"/>
                <w:rtl w:val="0"/>
              </w:rPr>
              <w:t xml:space="preserve">zīvnieku novietnes noslēguma dezinfekcija</w:t>
            </w:r>
            <w:r w:rsidR="00000000" w:rsidRPr="00000000" w:rsidDel="00000000">
              <w:rPr>
                <w:rtl w:val="0"/>
              </w:rPr>
              <w:t xml:space="preserve">". Ievērojot minēto, nav skaidrs, kādēļ projektā (piemēram, projekta 1., 2., 3. un 4. punktā paredzētajā grozījumā) tiek lietots termins "</w:t>
            </w:r>
            <w:r w:rsidR="00000000" w:rsidRPr="00000000" w:rsidDel="00000000">
              <w:rPr>
                <w:u w:val="single"/>
                <w:rtl w:val="0"/>
              </w:rPr>
              <w:t xml:space="preserve">noslēguma dezinfekcija</w:t>
            </w:r>
            <w:r w:rsidR="00000000" w:rsidRPr="00000000" w:rsidDel="00000000">
              <w:rPr>
                <w:rtl w:val="0"/>
              </w:rPr>
              <w:t xml:space="preserve">" un "</w:t>
            </w:r>
            <w:r w:rsidR="00000000" w:rsidRPr="00000000" w:rsidDel="00000000">
              <w:rPr>
                <w:u w:val="single"/>
                <w:rtl w:val="0"/>
              </w:rPr>
              <w:t xml:space="preserve">novietnes noslēguma dezinfekcija</w:t>
            </w:r>
            <w:r w:rsidR="00000000" w:rsidRPr="00000000" w:rsidDel="00000000">
              <w:rPr>
                <w:rtl w:val="0"/>
              </w:rPr>
              <w:t xml:space="preserve">". Ievērojot minēto, lūdzam precizēt projektu vai papildināt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Zaudējumus par noslēguma dezinfekciju kompensē 80 procentu apmērā no šo noteikumu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punktā minētajām attiecināmajām izmaksām, bet ne vairāk kā 4,27 </w:t>
            </w:r>
            <w:r w:rsidR="00000000" w:rsidRPr="00000000" w:rsidDel="00000000">
              <w:rPr>
                <w:i w:val="1"/>
                <w:rtl w:val="0"/>
              </w:rPr>
              <w:t xml:space="preserve">euro</w:t>
            </w:r>
            <w:r w:rsidR="00000000" w:rsidRPr="00000000" w:rsidDel="00000000">
              <w:rPr>
                <w:rtl w:val="0"/>
              </w:rPr>
              <w:t xml:space="preserve"> uz vienu kvadrātmetru</w:t>
            </w:r>
            <w:r w:rsidR="00000000" w:rsidRPr="00000000" w:rsidDel="00000000">
              <w:rPr>
                <w:sz w:val="20"/>
                <w:rtl w:val="0"/>
              </w:rPr>
              <w:t xml:space="preserve"> </w:t>
            </w:r>
            <w:r w:rsidR="00000000" w:rsidRPr="00000000" w:rsidDel="00000000">
              <w:rPr>
                <w:rtl w:val="0"/>
              </w:rPr>
              <w:t xml:space="preserve">no dzīvnieku novietnes grīdas vai akvakultūras audzētavas baseina platības.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Uz dzīvnieku novietnes noslēguma dezinfekciju attiecināmās izmaksas ir par: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projekta 1. punktā paredzētajā noteikumu 1.3. apakšpunktā ir ietverta norāde par saīsinājuma "</w:t>
            </w:r>
            <w:r w:rsidR="00000000" w:rsidRPr="00000000" w:rsidDel="00000000">
              <w:rPr>
                <w:u w:val="single"/>
                <w:rtl w:val="0"/>
              </w:rPr>
              <w:t xml:space="preserve">noslēguma dezinfekcija</w:t>
            </w:r>
            <w:r w:rsidR="00000000" w:rsidRPr="00000000" w:rsidDel="00000000">
              <w:rPr>
                <w:rtl w:val="0"/>
              </w:rPr>
              <w:t xml:space="preserve">" lietošanu noteikumos, lūdzam izvērtēt projekta 6. punktā paredzētajā noteikumu 10.</w:t>
            </w:r>
            <w:r w:rsidR="00000000" w:rsidRPr="00000000" w:rsidDel="00000000">
              <w:rPr>
                <w:vertAlign w:val="superscript"/>
                <w:rtl w:val="0"/>
              </w:rPr>
              <w:t xml:space="preserve">1</w:t>
            </w:r>
            <w:r w:rsidR="00000000" w:rsidRPr="00000000" w:rsidDel="00000000">
              <w:rPr>
                <w:rtl w:val="0"/>
              </w:rPr>
              <w:t xml:space="preserve"> punkta ievaddaļā minētā termina "</w:t>
            </w:r>
            <w:r w:rsidR="00000000" w:rsidRPr="00000000" w:rsidDel="00000000">
              <w:rPr>
                <w:u w:val="single"/>
                <w:rtl w:val="0"/>
              </w:rPr>
              <w:t xml:space="preserve">dzīvnieku novietnes noslēguma dezinfekcija</w:t>
            </w:r>
            <w:r w:rsidR="00000000" w:rsidRPr="00000000" w:rsidDel="00000000">
              <w:rPr>
                <w:rtl w:val="0"/>
              </w:rPr>
              <w:t xml:space="preserve">" lietošanu un attiecīgi precizēt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Uz noslēguma dezinfekciju attiecināmās izmaksas ir par: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 sākotnējās tīrīšanas, mazgāšanas un dezinfekcijas pabeigšanas datumu, kā arī noslēguma dezinfekcijas beigu datumu, tostarp kvalitātes testēšanas pārskata numuru un datumu;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projekta 8. punktā paredzētajā noteikumu 17.1. apakšpunktā ir minēta </w:t>
            </w:r>
            <w:r w:rsidR="00000000" w:rsidRPr="00000000" w:rsidDel="00000000">
              <w:rPr>
                <w:u w:val="single"/>
                <w:rtl w:val="0"/>
              </w:rPr>
              <w:t xml:space="preserve">sākotnējā dezinfekcija</w:t>
            </w:r>
            <w:r w:rsidR="00000000" w:rsidRPr="00000000" w:rsidDel="00000000">
              <w:rPr>
                <w:rtl w:val="0"/>
              </w:rPr>
              <w:t xml:space="preserve">, lūdzam izvērtēt, vai projekta 14. punktā paredzētajā noteikumu 24.6. apakšpunktā arī būtu jānorāda sākotnējā dezinfekcija, un nepieciešamības gadījumā attiecīgi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 sākotnējās dezinfekcijas pabeigšanas datumu, kā arī noslēguma dezinfekcijas beigu datumu, tostarp kvalitātes testēšanas pārskata numuru un datumu;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22-TA-2269</w:t>
    </w:r>
    <w:r>
      <w:br/>
    </w:r>
    <w:r w:rsidR="00000000" w:rsidRPr="00000000" w:rsidDel="00000000">
      <w:rPr>
        <w:rtl w:val="0"/>
      </w:rPr>
      <w:t xml:space="preserve">13.06.2023. 15.03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22-TA-2269</w:t>
    </w:r>
    <w:r>
      <w:br/>
    </w:r>
    <w:r w:rsidR="00000000" w:rsidRPr="00000000" w:rsidDel="00000000">
      <w:rPr>
        <w:rtl w:val="0"/>
      </w:rPr>
      <w:t xml:space="preserve">13.06.2023. 15.03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Izziņa_22-TA-2269.docx</dc:title>
</cp:coreProperties>
</file>

<file path=docProps/custom.xml><?xml version="1.0" encoding="utf-8"?>
<Properties xmlns="http://schemas.openxmlformats.org/officeDocument/2006/custom-properties" xmlns:vt="http://schemas.openxmlformats.org/officeDocument/2006/docPropsVTypes"/>
</file>