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22-TA-2898: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19. aprīļa noteikumos Nr. 251 "Darbības programmas "Izaugsme un nodarbinātība" prioritārā virziena "Pasākumi Covid-19 pandēmijas seku mazināšanai" 13.1.4. specifiskā atbalsta mērķa "Atveseļošanas pasākumi kultūras jomā" otrās projektu iesniegumu atlases kārtas "Daudzpusīgas profesionālās mākslas pieejamības nodrošināšana nacionālas vai reģionālas nozīmes attīstības centros Latvijā"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teikumā "Finansējuma saņēmējs, kas neizmanto 20% vienoto personāla atlīdzības likmi, visas amata kategorijas var apmaksāt</w:t>
            </w:r>
            <w:r w:rsidR="00000000" w:rsidRPr="00000000" w:rsidDel="00000000">
              <w:rPr>
                <w:u w:val="single"/>
                <w:rtl w:val="0"/>
              </w:rPr>
              <w:t xml:space="preserve"> gan ārpakalpojuma ietvaros</w:t>
            </w:r>
            <w:r w:rsidR="00000000" w:rsidRPr="00000000" w:rsidDel="00000000">
              <w:rPr>
                <w:rtl w:val="0"/>
              </w:rPr>
              <w:t xml:space="preserve">, gan no biļešu ieņēmumiem, gan citiem finanšu avotiem, neatkarīgi no tā, vai personāls piesaistīts uz darba līguma pamata vai ārpakalpojumā" lūdzam dzēst vārdus "gan ārpakalpojuma ietvaros", jo ārpakalpojums jau ir minēts teikuma beigās. Skaidrojam, ka projektā, kur netiks izmantota personāla atlīdzības izmaksu vienotā likme, tajā ietvertās amatu kategorijas varēs apmaksāt tikai no biļešu ieņēmumiem vai cita (pašvaldības) finansējuma, bet nevarēs apmaksāt kā ārpakalpojumu no projekta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kas neizmanto 20% vienoto personāla atlīdzības likmi, visas amata kategorijas var apmaksāt gan no biļešu ieņēmumiem, gan citiem finanšu avotiem, neatkarīgi no tā, vai personāls piesaistīts uz darba līguma pamata vai ārpakalpojumā.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anotācijas 1.sadaļā "Tiesību akta projekta izstrādes nepieciešamība" 1.3.apakšsadaļā "Pašreizējā situācija, problēmas un risinājumi" apakšpunktā "Risinājuma apraksts" 8.pindkopā minēto darbinieku apmācības izmaksu punkta iekļaušanas nepieciešamību un sasaisti ar attiecināmo un neattiecināmo izmaksu noteikšanu, atbilstoši Finanšu ministrijas izstrādātajām vadlīnijām Nr.2.1. "Vadlīnijas attiecināmo un neattiecināmo izmaksu noteikšanai 2014.-2020.gada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papildinātas Noteikumu Nr.251 attiecināmās izmaksas ar finansējuma saņēmēja darbinieku apmācību izmaksām, kas uzskatāmas par tiešajām attiecināmajām izmaksām, jo projekta īstenošanas personāla apmācības ir tieši saistītas ar 13.1.4.SAM otrās atlases kārtas mērķa sasniegšanu, kas cita starpā paredz arī paātrināt kultūras nozares organizāciju pielāgošanos jaunajiem apstākļiem.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redakciju ar Ministru kabineta noteikumu grozījumu tekstu, papildinot, ka anotācijas 1.sadaļā "Tiesību akta projekta izstrādes nepieciešamība" 1.3.apakšsadaļā "Pašreizējā situācija, problēmas un risinājumi" apakšpunktā "Risinājuma apraksts" 6.pindkopā </w:t>
            </w:r>
            <w:r w:rsidR="00000000" w:rsidRPr="00000000" w:rsidDel="00000000">
              <w:rPr>
                <w:rtl w:val="0"/>
              </w:rPr>
              <w:t xml:space="preserve"> minētās izmaksas (ēkas un telpu nomas, apsaimniekošanas un uzturēšanas izmaksas, kā arī komunālo pakalpojumu izmaksas) nevar vienlaikus tikt segtas no netiešo izmaksu vienotās likmes.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Projektu un Projekta anotāciju skaidrojam, ka ēkas un telpu nomas, apsaimniekošanas un uzturēšanas izmaksas, kā arī komunālo pakalpojumu izmaksas 13.1.4.SAM otrās atlases kārtas ietvaros nav uzskatāmas kā netiešās attiecināmās izmaksas un tās nevar tikt segtas no netiešo attiecināmo izmaksu vienotās likmes, ar Projektu nosakot, ka šo izdevumu segšanai var novirzīt biļešu ieņēmumus proporcionāli laika periodam, kad telpas netiek iznomātas par maksu citām juridiskām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r w:rsidR="00000000" w:rsidRPr="00000000" w:rsidDel="00000000">
              <w:rPr>
                <w:vertAlign w:val="superscript"/>
                <w:rtl w:val="0"/>
              </w:rPr>
              <w:t xml:space="preserve">1</w:t>
            </w:r>
            <w:r w:rsidR="00000000" w:rsidRPr="00000000" w:rsidDel="00000000">
              <w:rPr>
                <w:rtl w:val="0"/>
              </w:rPr>
              <w:t xml:space="preserve"> projekta vadības personāla un īstenošanas personāla ārvalstu komandējumu un darba braucienu izmaksas atbilstoši normatīvajiem aktiem, kas nosaka kārtību, kādā atlīdzināmi ar komandējumiem saistītie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Vadošās iestādes vadlīniju Nr. 2.1. "Vadlīnijas attiecināmo un neattiecināmo izmaksu noteikšanai 2014.-2020.gada plānošanas periodā" 44.zemsvītras atsaucei, ārvalstu komandējumu izmaksas attiecināmas tikai projekta īstenošanas personālam un projekta vadītājam. Lūdzam precizēt vai anotācijā skaidrot Ministru kabineta noteikumu projekta 20.2.</w:t>
            </w:r>
            <w:r w:rsidR="00000000" w:rsidRPr="00000000" w:rsidDel="00000000">
              <w:rPr>
                <w:vertAlign w:val="superscript"/>
                <w:rtl w:val="0"/>
              </w:rPr>
              <w:t xml:space="preserve">1</w:t>
            </w:r>
            <w:r w:rsidR="00000000" w:rsidRPr="00000000" w:rsidDel="00000000">
              <w:rPr>
                <w:rtl w:val="0"/>
              </w:rPr>
              <w:t xml:space="preserve"> apakšpunktā minētās redakcijas iekļaušanu.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r w:rsidR="00000000" w:rsidRPr="00000000" w:rsidDel="00000000">
              <w:rPr>
                <w:vertAlign w:val="superscript"/>
                <w:rtl w:val="0"/>
              </w:rPr>
              <w:t xml:space="preserve">1</w:t>
            </w:r>
            <w:r w:rsidR="00000000" w:rsidRPr="00000000" w:rsidDel="00000000">
              <w:rPr>
                <w:rtl w:val="0"/>
              </w:rPr>
              <w:t xml:space="preserve"> projekta vadītāja un projekta īstenošanas personāla ārvalstu komandējumu un darba braucienu izmaksas atbilstoši normatīvajiem aktiem, kas nosaka kārtību, kādā atlīdzināmi ar komandējumiem saistītie izdevumi;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20.4.6. mākslinieciskā plāna īstenošanai nepieciešamo transportlīdzekļu uzturēšanas izmaksas un iekārtu, aprīkojuma, mūzikas instrumentu nomas, iegādes, uzturēšanas un remonta izmaksas, tai skaitā mākslas darbu krājuma telpu pielāgošana kolekcijas uzglabāšanai;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projektā ierosināto grozījumu, kas paredz attiecināt dažādas infrastruktūras, t.sk. transportlīdzekļu, uzturēšanas izdevumus, pamatotību un atbilstību Vadošās iestādes vadlīnijās Nr. 2.1. "Vadlīnijas attiecināmo un neattiecināmo izmaksu noteikšanai 2014.-2020.gada plānošanas periodā" ietvertajiem nosacījumiem par uzturēšanas izmaksu attiecināšanu, nodrošinot skaidru informācijas un nosacījumu izsekojamību. Nepieciešamības gadījumā lūdzam izvērtēt iespēju izvērst skaidrojumu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uzskatāmas par tiešajām attiecināmajām izmaksām un ir tieši saistītas ar 13.1.4.SAM otrās atlases kārtas mērķa sasniegšanu, kas cita starpā paredz  arī reģionālās kultūrvides aktivizēšanos un rezultātu sasniegšanu, jo materiāltehniskā nodrošinājuma pieejamība un funkcionēšana ir tieši saistīta ar mākslinieciskā pasākuma plāna īstenošanas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20.4.6. mākslinieciskā plāna īstenošanai nepieciešamo transportlīdzekļu uzturēšanas izmaksas un iekārtu, aprīkojuma, mūzikas instrumentu nomas, iegādes, uzturēšanas un remonta izmaksas, tai skaitā mākslas darbu krājuma telpu pielāgošana kolekcijas uzglabāšanai;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1.2. ja projekta īstenošanā tiek izmantota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noteiktā netiešo attiecināmo izmaksu vienotā likme, projekta ieņēmumus var novirzīt finansējuma saņēmēja ēkas un telpu nomas, apsaimniekošanas un uzturēšanas izmaksām, kā arī komunālo pakalpojumu izmaksām, proporcionāli laika periodam, kad telpas netiek iznomātas par maksu citām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32.</w:t>
            </w:r>
            <w:r w:rsidR="00000000" w:rsidRPr="00000000" w:rsidDel="00000000">
              <w:rPr>
                <w:vertAlign w:val="superscript"/>
                <w:rtl w:val="0"/>
              </w:rPr>
              <w:t xml:space="preserve">1</w:t>
            </w:r>
            <w:r w:rsidR="00000000" w:rsidRPr="00000000" w:rsidDel="00000000">
              <w:rPr>
                <w:rtl w:val="0"/>
              </w:rPr>
              <w:t xml:space="preserve">1.2. apakšpunktu, norādot, ka minētās izmaksas vienlaikus nevar tikt segtas no netiešo izmaksu vienotās likmes.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8.punkts.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1.2. ja projekta īstenošanā tiek izmantota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noteiktā netiešo attiecināmo izmaksu vienotā likme, projekta ieņēmumus nevar novirzīt netiešo attiecināmo izmaksu kategoriju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1.sadaļas "Tiesību akta projekta izstrādes nepieciešamība" 1.1.apakšsadaļas "Pamatojums" apakšpunktu "Apraksts", norādot, ka deleģējums ir arī uz Eiropas Savienības struktūrfondu un Kohēzijas fonda 2014.—2020.gada plānošanas perioda vadības likums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saskaņā ar Eiropas Savienības struktūrfondu un Kohēzijas fonda 2014.-2020.gada plānošanas perioda vadības likuma 20.panta 6. un 13.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1.sadaļā "Tiesību akta projekta izstrādes nepieciešamība" 1.3.apakšsadaļā "Pašreizējā situācija, problēmas un risinājumi" apakšpunktā "Risinājuma apraksts" 3.pindkopā vārdus "Eiropas Savienības fondu" ar vārdiem "Eiropas Savienības </w:t>
            </w:r>
            <w:r w:rsidR="00000000" w:rsidRPr="00000000" w:rsidDel="00000000">
              <w:rPr>
                <w:rtl w:val="0"/>
              </w:rPr>
              <w:t xml:space="preserve">struktūrfondu un Kohēzijas fonda".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"Risinājuma apraksts" rindkopas "Ar Projektu tiek papildinātas Noteikumu Nr. 251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1.punktā precizēt tekstu atbilstoši MK noteikumu projekta redakcijai, proti, "projekta vadītāja un īstenošanas personāla ārvalstu komandējumu un darba braucienu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2.punktā lūdzam izvērtēt, vai teksts nebūtu papildināms ar projekta vadības personālu, jo šobrīd minēts tikai īstenošanas personāls, kam plānotas apmācības, savukārt MK noteikumu projektā minēti "finansējuma saņēmēja darbinieki".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"Risinājuma apraksts" pārskatīt teikuma "Finansējuma saņēmējs, kas neizmanto 20% vienoto personāla atlīdzības likmi, visas amata kategorijas var apmaksāt gan kā projekta tiešās attiecināmās izmaksas atbilstoši MK noteikumu  20.4.apakšpunktā noteiktajam, gan no biļešu ieņēmumiem un citiem finanšu avotiem, neatkarīgi no tā, vai personāls piesaistīts uz darba līguma pamata vai ārpakalpojumā." redakciju. Skaidrojam, ka gadījumā, ja finansējuma saņēmējs neizmanto 20% vienoto personāla atlīdzības likmi, likmē ietverto amatu kategoriju atlīdzības izmaksas var tikt segtas tikai no biļešu ieņēmumiem un citiem finanšu avotiem, savukārt par pārējo amatu kategoriju, kas nav iekļautas projekta vadības un īstenošanas personāla vienotās likmes amata kategoriju sarakstā, attiecināšanas iespējām jau minēts iepriekšējā teikumā.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kas neizmanto 20% vienoto personāla atlīdzības likmi, likmē ietvertās amata kategorijas var apmaksāt gan no biļešu ieņēmumiem, gan citiem finanšu avotiem, neatkarīgi no tā, vai personāls piesaistīts uz darba līguma pamata vai ārpakalpojumā.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kas neizmanto 20% vienoto personāla atlīdzības likmi, likmē ietvertās amata kategorijas var apmaksāt gan no biļešu ieņēmumiem, gan citiem finanšu avotiem, neatkarīgi no tā, vai personāls piesaistīts uz darba līguma pamata vai ārpakalpojumā.".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20.4.3.7. ceļa un transportēšanas izdevumi, uzturēšanās izdevumi, tai skaitā viesnīcas un ēdināšanas izmaksas, apdrošināšana, tai skaitā oriģinālo mākslas darbu apdrošināšana, un iedzīvotāju ienākuma nodokļa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iedzīvotāju ienākuma nodokļa izmaksu attiecināšanas nepieciešamību atbilstoši Ministru kabineta noteikumu Nr. 251 "Darbības programmas "Izaugsme un nodarbinātība" prioritārā virziena "Pasākumi Covid-19 pandēmijas seku mazināšanai" 13.1.4. specifiskā atbalsta mērķa "Atveseļošanas pasākumi kultūras jomā" otrās projektu iesniegumu atlases kārtas "Daudzpusīgas profesionālās mākslas pieejamības nodrošināšana nacionālas vai reģionālas nozīmes attīstības centros Latvijā" īstenošanas noteikumi"  20.4.3.7.apakšpunktam.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atsevišķu pakalpojuma sniedzēji var būt fiziskas personas, kuras nav reģistrētas Valsts ieņēmumu dienestā kā saimnieciskās darbības veicēji, MK noteikumi paredz šādiem pakalpojumiem attiecināt iedzīvotāju ienākuma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20.4.3.7. ceļa un transportēšanas izdevumi, uzturēšanās izdevumi, tai skaitā viesnīcas un ēdināšanas izmaksas, apdrošināšana, tai skaitā oriģinālo mākslas darbu apdrošināšana, un iedzīvotāju ienākuma nodokļa izmaksas;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22-TA-2898</w:t>
    </w:r>
    <w:r>
      <w:br/>
    </w:r>
    <w:r w:rsidR="00000000" w:rsidRPr="00000000" w:rsidDel="00000000">
      <w:rPr>
        <w:rtl w:val="0"/>
      </w:rPr>
      <w:t xml:space="preserve">20.10.2022. 16.07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22-TA-2898</w:t>
    </w:r>
    <w:r>
      <w:br/>
    </w:r>
    <w:r w:rsidR="00000000" w:rsidRPr="00000000" w:rsidDel="00000000">
      <w:rPr>
        <w:rtl w:val="0"/>
      </w:rPr>
      <w:t xml:space="preserve">20.10.2022. 16.07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Izziņa_22-TA-2898.docx</dc:title>
</cp:coreProperties>
</file>

<file path=docProps/custom.xml><?xml version="1.0" encoding="utf-8"?>
<Properties xmlns="http://schemas.openxmlformats.org/officeDocument/2006/custom-properties" xmlns:vt="http://schemas.openxmlformats.org/officeDocument/2006/docPropsVTypes"/>
</file>