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BEF98" w14:textId="77777777" w:rsidR="00493145" w:rsidRDefault="00493145" w:rsidP="00493145">
      <w:pPr>
        <w:rPr>
          <w:rFonts w:eastAsia="Times New Roman"/>
          <w:lang w:val="en-US" w:eastAsia="lv-LV"/>
        </w:rPr>
      </w:pPr>
      <w:r>
        <w:rPr>
          <w:rFonts w:eastAsia="Times New Roman"/>
          <w:b/>
          <w:bCs/>
          <w:lang w:val="en-US" w:eastAsia="lv-LV"/>
        </w:rPr>
        <w:t>From:</w:t>
      </w:r>
      <w:r>
        <w:rPr>
          <w:rFonts w:eastAsia="Times New Roman"/>
          <w:lang w:val="en-US" w:eastAsia="lv-LV"/>
        </w:rPr>
        <w:t xml:space="preserve"> Andra Reinfelde &lt;Andra.Reinfelde@TM.GOV.LV&gt;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ceturtdiena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17. </w:t>
      </w:r>
      <w:proofErr w:type="spellStart"/>
      <w:r>
        <w:rPr>
          <w:rFonts w:eastAsia="Times New Roman"/>
          <w:lang w:val="en-US" w:eastAsia="lv-LV"/>
        </w:rPr>
        <w:t>jūnijs</w:t>
      </w:r>
      <w:proofErr w:type="spellEnd"/>
      <w:r>
        <w:rPr>
          <w:rFonts w:eastAsia="Times New Roman"/>
          <w:lang w:val="en-US" w:eastAsia="lv-LV"/>
        </w:rPr>
        <w:t xml:space="preserve"> 14:22</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Helēna Rimša &lt;Helena.Rimsa@em.gov.lv&gt;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TAP VSS-1102 </w:t>
      </w:r>
      <w:proofErr w:type="spellStart"/>
      <w:r>
        <w:rPr>
          <w:rFonts w:eastAsia="Times New Roman"/>
          <w:lang w:val="en-US" w:eastAsia="lv-LV"/>
        </w:rPr>
        <w:t>atkartota</w:t>
      </w:r>
      <w:proofErr w:type="spellEnd"/>
      <w:r>
        <w:rPr>
          <w:rFonts w:eastAsia="Times New Roman"/>
          <w:lang w:val="en-US" w:eastAsia="lv-LV"/>
        </w:rPr>
        <w:t xml:space="preserve"> </w:t>
      </w:r>
      <w:proofErr w:type="spellStart"/>
      <w:r>
        <w:rPr>
          <w:rFonts w:eastAsia="Times New Roman"/>
          <w:lang w:val="en-US" w:eastAsia="lv-LV"/>
        </w:rPr>
        <w:t>elektroniska</w:t>
      </w:r>
      <w:proofErr w:type="spellEnd"/>
      <w:r>
        <w:rPr>
          <w:rFonts w:eastAsia="Times New Roman"/>
          <w:lang w:val="en-US" w:eastAsia="lv-LV"/>
        </w:rPr>
        <w:t xml:space="preserve"> </w:t>
      </w:r>
      <w:proofErr w:type="spellStart"/>
      <w:r>
        <w:rPr>
          <w:rFonts w:eastAsia="Times New Roman"/>
          <w:lang w:val="en-US" w:eastAsia="lv-LV"/>
        </w:rPr>
        <w:t>saskanoana</w:t>
      </w:r>
      <w:proofErr w:type="spellEnd"/>
    </w:p>
    <w:p w14:paraId="7B6359D4" w14:textId="77777777" w:rsidR="00493145" w:rsidRDefault="00493145" w:rsidP="00493145"/>
    <w:p w14:paraId="2D7A2263" w14:textId="77777777" w:rsidR="00493145" w:rsidRDefault="00493145" w:rsidP="00493145">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4185F9EB" w14:textId="77777777" w:rsidR="00493145" w:rsidRDefault="00493145" w:rsidP="00493145">
      <w:pPr>
        <w:ind w:firstLine="720"/>
        <w:jc w:val="both"/>
        <w:rPr>
          <w:rFonts w:ascii="Times New Roman" w:hAnsi="Times New Roman" w:cs="Times New Roman"/>
          <w:sz w:val="24"/>
          <w:szCs w:val="24"/>
        </w:rPr>
      </w:pPr>
      <w:r>
        <w:rPr>
          <w:rFonts w:ascii="Times New Roman" w:hAnsi="Times New Roman" w:cs="Times New Roman"/>
          <w:sz w:val="24"/>
          <w:szCs w:val="24"/>
        </w:rPr>
        <w:t>Labdien!</w:t>
      </w:r>
    </w:p>
    <w:p w14:paraId="4BD190ED" w14:textId="77777777" w:rsidR="00493145" w:rsidRDefault="00493145" w:rsidP="00493145">
      <w:pPr>
        <w:ind w:firstLine="720"/>
        <w:jc w:val="both"/>
        <w:rPr>
          <w:rFonts w:ascii="Times New Roman" w:hAnsi="Times New Roman" w:cs="Times New Roman"/>
          <w:sz w:val="24"/>
          <w:szCs w:val="24"/>
        </w:rPr>
      </w:pPr>
    </w:p>
    <w:p w14:paraId="41B1A4CC" w14:textId="77777777" w:rsidR="00493145" w:rsidRDefault="00493145" w:rsidP="00493145">
      <w:pPr>
        <w:ind w:firstLine="720"/>
        <w:jc w:val="both"/>
        <w:rPr>
          <w:rFonts w:ascii="Times New Roman" w:hAnsi="Times New Roman" w:cs="Times New Roman"/>
          <w:sz w:val="24"/>
          <w:szCs w:val="24"/>
        </w:rPr>
      </w:pPr>
      <w:r>
        <w:rPr>
          <w:rFonts w:ascii="Times New Roman" w:hAnsi="Times New Roman" w:cs="Times New Roman"/>
          <w:sz w:val="24"/>
          <w:szCs w:val="24"/>
        </w:rPr>
        <w:t xml:space="preserve">Tieslietu ministrija ir izskatījusi Ekonomikas ministrijas precizēto likumprojektu "Transporta enerģijas likums" (turpmāk – projekts) un atbalsta tā tālāku virzību, izsakot šādus </w:t>
      </w:r>
      <w:r>
        <w:rPr>
          <w:rFonts w:ascii="Times New Roman" w:hAnsi="Times New Roman" w:cs="Times New Roman"/>
          <w:b/>
          <w:bCs/>
          <w:sz w:val="24"/>
          <w:szCs w:val="24"/>
        </w:rPr>
        <w:t>iebildumus</w:t>
      </w:r>
      <w:r>
        <w:rPr>
          <w:rFonts w:ascii="Times New Roman" w:hAnsi="Times New Roman" w:cs="Times New Roman"/>
          <w:sz w:val="24"/>
          <w:szCs w:val="24"/>
        </w:rPr>
        <w:t>:</w:t>
      </w:r>
    </w:p>
    <w:p w14:paraId="570BF1A3" w14:textId="77777777" w:rsidR="00493145" w:rsidRDefault="00493145" w:rsidP="00493145">
      <w:pPr>
        <w:ind w:firstLine="720"/>
        <w:jc w:val="both"/>
        <w:rPr>
          <w:rFonts w:ascii="Times New Roman" w:hAnsi="Times New Roman" w:cs="Times New Roman"/>
          <w:sz w:val="24"/>
          <w:szCs w:val="24"/>
        </w:rPr>
      </w:pPr>
    </w:p>
    <w:p w14:paraId="0041D7A8" w14:textId="77777777" w:rsidR="00493145" w:rsidRDefault="00493145" w:rsidP="00493145">
      <w:pPr>
        <w:pStyle w:val="ListParagraph"/>
        <w:numPr>
          <w:ilvl w:val="0"/>
          <w:numId w:val="1"/>
        </w:numPr>
        <w:ind w:left="0" w:firstLine="360"/>
        <w:jc w:val="both"/>
        <w:rPr>
          <w:rFonts w:ascii="Times New Roman" w:hAnsi="Times New Roman" w:cs="Times New Roman"/>
          <w:sz w:val="24"/>
          <w:szCs w:val="24"/>
        </w:rPr>
      </w:pPr>
      <w:r>
        <w:rPr>
          <w:rFonts w:ascii="Times New Roman" w:hAnsi="Times New Roman" w:cs="Times New Roman"/>
          <w:sz w:val="24"/>
          <w:szCs w:val="24"/>
        </w:rPr>
        <w:t>Lūdzam projekta 13. panta piektajā daļā vārdus "piespiedu naudu uzliek reizi pusgadā" aizstāt ar vārdiem "piespiedu naudu var uzlikt reizi pusgadā". Piespiedu līdzekļu piemērošanā vajadzētu būt zināmai rīcības brīvībai, lai varētu izvērtēt samērīgumu un citus kritērijus, kā arī piespiedu līdzekļu piemērošana nekļūtu formāla, bez nepieciešamības noteiktā mērķa sasniegšanai. Turklāt jāievēro, ka piespiedu naudu var piemērot vien tikmēr, kamēr pastāv iespēja, ka persona pienākumu faktiski var izpildīt. Ja pienākums vairs reāli nav īstenojams (piemēram, pastāv tiesiski vai faktiski šķēršļi), tad šāda "piespiedu nauda" jau iegūst sodošu raksturu.</w:t>
      </w:r>
    </w:p>
    <w:p w14:paraId="78FAE88C" w14:textId="77777777" w:rsidR="00493145" w:rsidRDefault="00493145" w:rsidP="00493145">
      <w:pPr>
        <w:pStyle w:val="ListParagraph"/>
        <w:numPr>
          <w:ilvl w:val="0"/>
          <w:numId w:val="1"/>
        </w:numPr>
        <w:ind w:left="0" w:firstLine="360"/>
        <w:jc w:val="both"/>
        <w:rPr>
          <w:rFonts w:ascii="Times New Roman" w:hAnsi="Times New Roman" w:cs="Times New Roman"/>
          <w:sz w:val="24"/>
          <w:szCs w:val="24"/>
        </w:rPr>
      </w:pPr>
      <w:r>
        <w:rPr>
          <w:rFonts w:ascii="Times New Roman" w:hAnsi="Times New Roman" w:cs="Times New Roman"/>
          <w:sz w:val="24"/>
          <w:szCs w:val="24"/>
        </w:rPr>
        <w:t>Lūdzam svītrot projekta 13. panta astoto daļu un devītās daļas otro teikumu, kā arī projekta 14. panta ceturto daļu. Šajā gadījumā nav pamata paredzēt izņēmumus no Administratīvā procesa likumā noteiktās vispārīgās kārtības. Arī projekta anotācijā nav nekāda skaidrojuma par šādu izņēmumu būtību un to nepieciešamību.</w:t>
      </w:r>
    </w:p>
    <w:p w14:paraId="4CB83C9E" w14:textId="77777777" w:rsidR="00493145" w:rsidRDefault="00493145" w:rsidP="00493145">
      <w:pPr>
        <w:pStyle w:val="ListParagraph"/>
        <w:numPr>
          <w:ilvl w:val="0"/>
          <w:numId w:val="1"/>
        </w:numPr>
        <w:ind w:left="0" w:firstLine="360"/>
        <w:jc w:val="both"/>
        <w:rPr>
          <w:rFonts w:ascii="Times New Roman" w:hAnsi="Times New Roman" w:cs="Times New Roman"/>
          <w:sz w:val="24"/>
          <w:szCs w:val="24"/>
        </w:rPr>
      </w:pPr>
      <w:r>
        <w:rPr>
          <w:rFonts w:ascii="Times New Roman" w:hAnsi="Times New Roman" w:cs="Times New Roman"/>
          <w:sz w:val="24"/>
          <w:szCs w:val="24"/>
        </w:rPr>
        <w:t xml:space="preserve">Projekta 14. pantā paredzēta transporta enerģijas aprites cikla emisiju intensitātes samazināšanas valsts nodeva. No projekta 14. panta pirmās daļas izriet, ka šīs nodevas mērķis ir veicināt transporta enerģijas izmantošanas radīto siltumnīcefekta gāzu emisiju samazināšanu, atjaunojamās transporta enerģijas izmantošanu un energoefektivitātes uzlabošanu transporta sektorā. Savukārt projekta anotācijā vairākkārt dažādos veidos norādīts, ka šīs nodevas mērķis ir panākt, ka "degvielas piegādātājs nodrošina sava </w:t>
      </w:r>
      <w:proofErr w:type="spellStart"/>
      <w:r>
        <w:rPr>
          <w:rFonts w:ascii="Times New Roman" w:hAnsi="Times New Roman" w:cs="Times New Roman"/>
          <w:sz w:val="24"/>
          <w:szCs w:val="24"/>
        </w:rPr>
        <w:t>galapatēriņam</w:t>
      </w:r>
      <w:proofErr w:type="spellEnd"/>
      <w:r>
        <w:rPr>
          <w:rFonts w:ascii="Times New Roman" w:hAnsi="Times New Roman" w:cs="Times New Roman"/>
          <w:sz w:val="24"/>
          <w:szCs w:val="24"/>
        </w:rPr>
        <w:t xml:space="preserve"> realizētās transporta enerģijas apjoma SEG emisiju samazināšanu". Tādējādi projekta anotācija nav pilnībā saskaņota ar projekta saturu.</w:t>
      </w:r>
    </w:p>
    <w:p w14:paraId="52FA6811" w14:textId="77777777" w:rsidR="00493145" w:rsidRDefault="00493145" w:rsidP="00493145">
      <w:pPr>
        <w:pStyle w:val="ListParagraph"/>
        <w:numPr>
          <w:ilvl w:val="1"/>
          <w:numId w:val="2"/>
        </w:numPr>
        <w:ind w:left="0" w:firstLine="360"/>
        <w:jc w:val="both"/>
        <w:rPr>
          <w:rFonts w:ascii="Times New Roman" w:hAnsi="Times New Roman" w:cs="Times New Roman"/>
          <w:sz w:val="24"/>
          <w:szCs w:val="24"/>
        </w:rPr>
      </w:pPr>
      <w:r>
        <w:rPr>
          <w:rFonts w:ascii="Times New Roman" w:hAnsi="Times New Roman" w:cs="Times New Roman"/>
          <w:sz w:val="24"/>
          <w:szCs w:val="24"/>
        </w:rPr>
        <w:t>Saskaņā ar likuma "Par nodokļiem un nodevām" 1. panta 2. punktu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w:t>
      </w:r>
    </w:p>
    <w:p w14:paraId="6B7738E1" w14:textId="77777777" w:rsidR="00493145" w:rsidRDefault="00493145" w:rsidP="00493145">
      <w:pPr>
        <w:pStyle w:val="ListParagraph"/>
        <w:numPr>
          <w:ilvl w:val="1"/>
          <w:numId w:val="2"/>
        </w:numPr>
        <w:ind w:left="0" w:firstLine="360"/>
        <w:jc w:val="both"/>
        <w:rPr>
          <w:rFonts w:ascii="Times New Roman" w:hAnsi="Times New Roman" w:cs="Times New Roman"/>
          <w:sz w:val="24"/>
          <w:szCs w:val="24"/>
        </w:rPr>
      </w:pPr>
      <w:r>
        <w:rPr>
          <w:rFonts w:ascii="Times New Roman" w:hAnsi="Times New Roman" w:cs="Times New Roman"/>
          <w:sz w:val="24"/>
          <w:szCs w:val="24"/>
        </w:rPr>
        <w:t>Piekrītam projekta anotācijā norādītajam, ka šādas nodevas mērķis varētu būt darbības kontrolēšana un veicināšana, kas kopumā atbilst projekta 14. panta pirmajā daļā norādītajiem nodevas mērķiem. Tomēr nodevas būtiska pazīme ir arī tā, ka nodeva ir maksājums par valsts vai pašvaldības institūcijas veicamo darbību. Lūdzam projekta anotācijā ietvert skaidru norādi par to, kāda konkrētajā gadījumā ir valsts institūcijas veicamā darbība. Pretējā gadījumā pastāv šaubas, ka šāda "nodeva" patiesībā ir sodoša rakstura administratīva sankcija.</w:t>
      </w:r>
    </w:p>
    <w:p w14:paraId="57CDEE5F" w14:textId="77777777" w:rsidR="00493145" w:rsidRDefault="00493145" w:rsidP="00493145">
      <w:pPr>
        <w:pStyle w:val="ListParagraph"/>
        <w:numPr>
          <w:ilvl w:val="0"/>
          <w:numId w:val="1"/>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Ņemot vērā projekta 15. pantā ietverto regulējumu, lūdzam izvērtēt, vai šis pants nav papildināms ar regulējumu par to, ka gadījumā, ja tiek īstenotas atbalsta programmas, iestāde pieņem lēmumu piešķirt atbalstu vai atteikt atbalsta piešķiršanu, kā arī papildināt šā </w:t>
      </w:r>
      <w:r>
        <w:rPr>
          <w:rFonts w:ascii="Times New Roman" w:hAnsi="Times New Roman" w:cs="Times New Roman"/>
          <w:sz w:val="24"/>
          <w:szCs w:val="24"/>
        </w:rPr>
        <w:lastRenderedPageBreak/>
        <w:t>panta ceturto daļu ar pilnvarojumu noteikt šādu lēmumu pieņemšanas kārtību. Tāpat lūdzam vērtēt, vai projekta 15.panta ceturtajā daļā nepieciešams pilnvarojums noteikt “komercdarbības atbalsta nosacījumus komercdarbības atbalsta kontroles regulējuma ievērošanai”, ņemot vērā 13.05.2021. grozījumus Komercdarbības atbalsta kontroles likumā, kas aktualizē tiesisko regulējumu komercdarbības atbalsta kontroles jomā.</w:t>
      </w:r>
    </w:p>
    <w:p w14:paraId="123E9C3D" w14:textId="77777777" w:rsidR="00493145" w:rsidRDefault="00493145" w:rsidP="00493145">
      <w:pPr>
        <w:pStyle w:val="ListParagraph"/>
        <w:spacing w:after="0" w:line="240" w:lineRule="auto"/>
        <w:ind w:left="360"/>
        <w:jc w:val="both"/>
        <w:rPr>
          <w:rFonts w:ascii="Times New Roman" w:hAnsi="Times New Roman" w:cs="Times New Roman"/>
          <w:sz w:val="24"/>
          <w:szCs w:val="24"/>
          <w:lang w:eastAsia="lv-LV"/>
        </w:rPr>
      </w:pPr>
      <w:r>
        <w:rPr>
          <w:rFonts w:ascii="Times New Roman" w:hAnsi="Times New Roman" w:cs="Times New Roman"/>
          <w:sz w:val="24"/>
          <w:szCs w:val="24"/>
          <w:lang w:eastAsia="lv-LV"/>
        </w:rPr>
        <w:t>Tāpat vēršam uzmanību, ka 15.panta ceturtajā daļā atkārtotie vārdi “šī panta otrajā daļā minētajās jomās”</w:t>
      </w:r>
      <w:r>
        <w:rPr>
          <w:rFonts w:ascii="Times New Roman" w:hAnsi="Times New Roman" w:cs="Times New Roman"/>
          <w:sz w:val="24"/>
          <w:szCs w:val="24"/>
        </w:rPr>
        <w:t>, kā arī atkārtotais vārds “</w:t>
      </w:r>
      <w:r>
        <w:rPr>
          <w:rFonts w:ascii="Times New Roman" w:hAnsi="Times New Roman" w:cs="Times New Roman"/>
          <w:sz w:val="24"/>
          <w:szCs w:val="24"/>
          <w:lang w:eastAsia="lv-LV"/>
        </w:rPr>
        <w:t>nosakot”</w:t>
      </w:r>
      <w:r>
        <w:rPr>
          <w:rFonts w:ascii="Times New Roman" w:hAnsi="Times New Roman" w:cs="Times New Roman"/>
          <w:sz w:val="24"/>
          <w:szCs w:val="24"/>
        </w:rPr>
        <w:t xml:space="preserve"> ir lieki.</w:t>
      </w:r>
    </w:p>
    <w:p w14:paraId="06FC8EF4" w14:textId="77777777" w:rsidR="00493145" w:rsidRDefault="00493145" w:rsidP="00493145">
      <w:pPr>
        <w:pStyle w:val="ListParagraph"/>
        <w:numPr>
          <w:ilvl w:val="0"/>
          <w:numId w:val="1"/>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Attiecībā uz projekta </w:t>
      </w:r>
      <w:r>
        <w:rPr>
          <w:rFonts w:ascii="Times New Roman" w:hAnsi="Times New Roman" w:cs="Times New Roman"/>
          <w:sz w:val="24"/>
          <w:szCs w:val="24"/>
          <w:lang w:eastAsia="lv-LV"/>
        </w:rPr>
        <w:t xml:space="preserve">Pārejas noteikumu 6.punktu vēršam uzmanību, ka nav laba prakse viena likuma (likuma “Par piesārņojumu”) pārejas normas iekļaut cita likuma (projekta) pārejas noteikumos. Līdz ar to lūdzam apsvērt iespēju šāda satura regulējumu vai nu iekļaut likumā “Par piesārņojumu”, vai arī </w:t>
      </w:r>
      <w:r>
        <w:rPr>
          <w:rFonts w:ascii="Times New Roman" w:hAnsi="Times New Roman" w:cs="Times New Roman"/>
          <w:sz w:val="24"/>
          <w:szCs w:val="24"/>
          <w:u w:val="single"/>
          <w:lang w:eastAsia="lv-LV"/>
        </w:rPr>
        <w:t>projektā</w:t>
      </w:r>
      <w:r>
        <w:rPr>
          <w:rFonts w:ascii="Times New Roman" w:hAnsi="Times New Roman" w:cs="Times New Roman"/>
          <w:sz w:val="24"/>
          <w:szCs w:val="24"/>
          <w:lang w:eastAsia="lv-LV"/>
        </w:rPr>
        <w:t xml:space="preserve"> paredzēt speciālu pārejas regulējumu par ziņojumu iesniegšanu par 2021.gada rezultātiem un attiecīga lēmuma pieņemšanu (bez atsaucēm uz likumu “Par piesārņojumu”). Vēršam uzmanību arī uz to, ka projekta pārejas noteikumu 6. punkta izpilde varētu būt apgrūtināta, ņemot vērā, ka no 2022.gada 1.janvāra spēku zaudē arī likuma “Par piesārņojumu” 55.panta ceturtā daļa, kas paredz degvielas piegādātāja vai degvielas piegādātāju grupas pienākumu katru gadu līdz 15. maijam sniegt Valsts vides dienestam ziņojumu par SEG samazinājuma mērķa izpildi, līdz ar to personām no 2022.gada 1.janvāra vairs nebūs pienākuma iesniegt ziņas par SEG samazinājumu </w:t>
      </w:r>
      <w:r>
        <w:rPr>
          <w:rFonts w:ascii="Times New Roman" w:hAnsi="Times New Roman" w:cs="Times New Roman"/>
          <w:sz w:val="24"/>
          <w:szCs w:val="24"/>
          <w:u w:val="single"/>
          <w:lang w:eastAsia="lv-LV"/>
        </w:rPr>
        <w:t>2021.gadā</w:t>
      </w:r>
      <w:r>
        <w:rPr>
          <w:rFonts w:ascii="Times New Roman" w:hAnsi="Times New Roman" w:cs="Times New Roman"/>
          <w:sz w:val="24"/>
          <w:szCs w:val="24"/>
          <w:lang w:eastAsia="lv-LV"/>
        </w:rPr>
        <w:t xml:space="preserve"> </w:t>
      </w:r>
      <w:r>
        <w:rPr>
          <w:rFonts w:ascii="Times New Roman" w:hAnsi="Times New Roman" w:cs="Times New Roman"/>
          <w:sz w:val="24"/>
          <w:szCs w:val="24"/>
          <w:u w:val="single"/>
          <w:lang w:eastAsia="lv-LV"/>
        </w:rPr>
        <w:t>saskaņā ar likumu “Par piesārņojumu”.</w:t>
      </w:r>
      <w:r>
        <w:rPr>
          <w:rFonts w:ascii="Times New Roman" w:hAnsi="Times New Roman" w:cs="Times New Roman"/>
          <w:sz w:val="24"/>
          <w:szCs w:val="24"/>
          <w:lang w:eastAsia="lv-LV"/>
        </w:rPr>
        <w:t xml:space="preserve"> Turklāt norādām, ka no Pārejas noteikumu 6. un 7.punkta kopsakarā nav viennozīmīgi skaidrs, vai plānots noteikt personu pienākumu sniegt ziņas saskaņā ar projekta 11.pantu, vai saskaņā ar likuma “Par piesārņojumu” 55.pantu, vai abējādi.</w:t>
      </w:r>
    </w:p>
    <w:p w14:paraId="2204E25C" w14:textId="77777777" w:rsidR="00493145" w:rsidRDefault="00493145" w:rsidP="00493145">
      <w:pPr>
        <w:pStyle w:val="ListParagraph"/>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lang w:eastAsia="lv-LV"/>
        </w:rPr>
        <w:t>Tieslietu ministrijas ieskatā Pārejas noteikumu 6.punkts (un, iespējams, 7.punkts) būtu precizējams, nosakot, ka 2022.</w:t>
      </w:r>
      <w:r>
        <w:t> </w:t>
      </w:r>
      <w:r>
        <w:rPr>
          <w:rFonts w:ascii="Times New Roman" w:hAnsi="Times New Roman" w:cs="Times New Roman"/>
          <w:sz w:val="24"/>
          <w:szCs w:val="24"/>
          <w:lang w:eastAsia="lv-LV"/>
        </w:rPr>
        <w:t>gadā piemērojama īpaša (no projekta 11.pantā noteiktās kārtības atšķirīga, bet atbilstoša pašreizējam likuma “Par piesārņojumu” 55.pantam) ziņošanas kārtība, kā arī, atbilstoša lēmuma pieņemšanas kārtība.</w:t>
      </w:r>
    </w:p>
    <w:p w14:paraId="306CB459" w14:textId="77777777" w:rsidR="00493145" w:rsidRDefault="00493145" w:rsidP="00493145">
      <w:pPr>
        <w:jc w:val="both"/>
        <w:rPr>
          <w:rFonts w:ascii="Times New Roman" w:hAnsi="Times New Roman" w:cs="Times New Roman"/>
          <w:sz w:val="24"/>
          <w:szCs w:val="24"/>
        </w:rPr>
      </w:pPr>
    </w:p>
    <w:p w14:paraId="554F7467" w14:textId="77777777" w:rsidR="00493145" w:rsidRDefault="00493145" w:rsidP="00493145">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Vienlaikus izsakām šādus </w:t>
      </w:r>
      <w:r>
        <w:rPr>
          <w:rFonts w:ascii="Times New Roman" w:hAnsi="Times New Roman" w:cs="Times New Roman"/>
          <w:b/>
          <w:bCs/>
          <w:sz w:val="24"/>
          <w:szCs w:val="24"/>
        </w:rPr>
        <w:t>priekšlikumus</w:t>
      </w:r>
      <w:r>
        <w:rPr>
          <w:rFonts w:ascii="Times New Roman" w:hAnsi="Times New Roman" w:cs="Times New Roman"/>
          <w:sz w:val="24"/>
          <w:szCs w:val="24"/>
        </w:rPr>
        <w:t>:</w:t>
      </w:r>
    </w:p>
    <w:p w14:paraId="6431647D" w14:textId="77777777" w:rsidR="00493145" w:rsidRDefault="00493145" w:rsidP="00493145">
      <w:pPr>
        <w:pStyle w:val="ListParagraph"/>
        <w:numPr>
          <w:ilvl w:val="0"/>
          <w:numId w:val="3"/>
        </w:numPr>
        <w:ind w:left="0" w:firstLine="360"/>
        <w:jc w:val="both"/>
        <w:rPr>
          <w:rFonts w:ascii="Times New Roman" w:hAnsi="Times New Roman" w:cs="Times New Roman"/>
          <w:sz w:val="24"/>
          <w:szCs w:val="24"/>
        </w:rPr>
      </w:pPr>
      <w:r>
        <w:rPr>
          <w:rFonts w:ascii="Times New Roman" w:hAnsi="Times New Roman" w:cs="Times New Roman"/>
          <w:sz w:val="24"/>
          <w:szCs w:val="24"/>
        </w:rPr>
        <w:t xml:space="preserve">Saskaņā ar Ministru kabineta 2009. gada 3. februāra noteikumu Nr. 108 "Normatīvo aktu projektu sagatavošanas noteikumi" (turpmāk – Noteikumi Nr.108) 2.1. apakšpunktu normatīvā akta projekta tekstu raksta iespējami lakonisku. </w:t>
      </w:r>
    </w:p>
    <w:p w14:paraId="55E8FDC7" w14:textId="77777777" w:rsidR="00493145" w:rsidRDefault="00493145" w:rsidP="00493145">
      <w:pPr>
        <w:pStyle w:val="ListParagraph"/>
        <w:ind w:left="0" w:firstLine="360"/>
        <w:jc w:val="both"/>
        <w:rPr>
          <w:rFonts w:ascii="Times New Roman" w:hAnsi="Times New Roman" w:cs="Times New Roman"/>
          <w:sz w:val="24"/>
          <w:szCs w:val="24"/>
        </w:rPr>
      </w:pPr>
      <w:r>
        <w:rPr>
          <w:rFonts w:ascii="Times New Roman" w:hAnsi="Times New Roman" w:cs="Times New Roman"/>
          <w:sz w:val="24"/>
          <w:szCs w:val="24"/>
        </w:rPr>
        <w:t>Lai saīsinātu un vienkāršotu likuma tekstu, var rakstīt atsauci uz jau esošu likumu vai atsauci uz tā paša likuma citu vienību. Atsauce ir līdzeklis, kā saīsināt un vienkāršot likuma tekstu, jo, izmantojot atsauces, nav jāraksta viss jau reiz uzrakstītais teksts pilnībā. Vienlaikus jāatceras, ka atsauces ir jālieto saprātīgi un pamatoti, jo to pārmērīga lietošana var sarežģīt likuma satura uztveri (</w:t>
      </w:r>
      <w:r>
        <w:rPr>
          <w:rFonts w:ascii="Times New Roman" w:hAnsi="Times New Roman" w:cs="Times New Roman"/>
          <w:i/>
          <w:iCs/>
          <w:sz w:val="24"/>
          <w:szCs w:val="24"/>
        </w:rPr>
        <w:t xml:space="preserve">Normatīvo aktu projektu izstrādes rokasgrāmata, </w:t>
      </w:r>
      <w:hyperlink r:id="rId5" w:history="1">
        <w:r>
          <w:rPr>
            <w:rStyle w:val="Hyperlink"/>
            <w:rFonts w:ascii="Times New Roman" w:hAnsi="Times New Roman" w:cs="Times New Roman"/>
            <w:i/>
            <w:iCs/>
            <w:sz w:val="24"/>
            <w:szCs w:val="24"/>
          </w:rPr>
          <w:t>https://tai.mk.gov.lv/book/1/chapter/98</w:t>
        </w:r>
      </w:hyperlink>
      <w:r>
        <w:rPr>
          <w:rFonts w:ascii="Times New Roman" w:hAnsi="Times New Roman" w:cs="Times New Roman"/>
          <w:sz w:val="24"/>
          <w:szCs w:val="24"/>
        </w:rPr>
        <w:t>).</w:t>
      </w:r>
    </w:p>
    <w:p w14:paraId="665CAA7C" w14:textId="77777777" w:rsidR="00493145" w:rsidRDefault="00493145" w:rsidP="00493145">
      <w:pPr>
        <w:pStyle w:val="ListParagraph"/>
        <w:ind w:left="0" w:firstLine="360"/>
        <w:jc w:val="both"/>
        <w:rPr>
          <w:rFonts w:ascii="Times New Roman" w:hAnsi="Times New Roman" w:cs="Times New Roman"/>
          <w:sz w:val="24"/>
          <w:szCs w:val="24"/>
        </w:rPr>
      </w:pPr>
      <w:r>
        <w:rPr>
          <w:rFonts w:ascii="Times New Roman" w:hAnsi="Times New Roman" w:cs="Times New Roman"/>
          <w:sz w:val="24"/>
          <w:szCs w:val="24"/>
        </w:rPr>
        <w:t>Ievērojot minēto, projektā atsauces veidojamas tikai tur, kur tas patiešām ir nepieciešams (ja citādi regulējums nav saprotams, ja nav iespējams izmantot aprakstošu apzīmējumu u. tml.). Piemēram, projekta 13. panta otrajā daļā nav nepieciešams katrā apakšpunktā ietvert vienu un to pašu atsauci uz projekta 8. panta ceturtās daļas 1. vai 2. punktā noteikto pienākumu. Tā vietā šo atsauci varētu ietvert vienu reizi projekta 13. panta otrās daļas ievaddaļā. Tāpat šīs daļas ievaddaļā varētu ietvert norādi uz degvielas piegādātāja pēdējā finanšu gada neto apgrozījumu.</w:t>
      </w:r>
    </w:p>
    <w:p w14:paraId="0C05462B" w14:textId="77777777" w:rsidR="00493145" w:rsidRDefault="00493145" w:rsidP="00493145">
      <w:pPr>
        <w:pStyle w:val="ListParagraph"/>
        <w:ind w:left="0" w:firstLine="360"/>
        <w:jc w:val="both"/>
        <w:rPr>
          <w:rFonts w:ascii="Times New Roman" w:hAnsi="Times New Roman" w:cs="Times New Roman"/>
          <w:sz w:val="24"/>
          <w:szCs w:val="24"/>
        </w:rPr>
      </w:pPr>
      <w:r>
        <w:rPr>
          <w:rFonts w:ascii="Times New Roman" w:hAnsi="Times New Roman" w:cs="Times New Roman"/>
          <w:sz w:val="24"/>
          <w:szCs w:val="24"/>
        </w:rPr>
        <w:t>Vienlaikus vēršam uzmanību, ka projekta 13. panta otrajā daļā minēts šā projekta 8. panta ceturtās daļas 1. vai 2. punktā noteiktais "pienākums", kamēr citviet projekta 13. pantā izmantots vārds "mērķis", lai apzīmētu vienu un to pašu lietu. Saskaņā ar Ministru kabineta 2009. gada 3. februāra noteikumu Nr. 108 "Normatīvo aktu projektu sagatavošanas noteikumi" 2.3. apakšpunktu normatīvā akta projekta tekstu raksta normatīvajiem aktiem atbilstošā vienotā stilistikā, izmantojot vienveidīgas un standartizētas vārdiskās izteiksmes.</w:t>
      </w:r>
    </w:p>
    <w:p w14:paraId="4161A169" w14:textId="77777777" w:rsidR="00493145" w:rsidRDefault="00493145" w:rsidP="00493145">
      <w:pPr>
        <w:pStyle w:val="ListParagraph"/>
        <w:numPr>
          <w:ilvl w:val="0"/>
          <w:numId w:val="3"/>
        </w:numPr>
        <w:spacing w:before="120" w:after="120"/>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Ierosinām atkārtoti izvērtēt projekta 8.panta devītajā daļā noteikto, ka “Ministru kabinets nosaka gadījumus, kuros benzīnam vai dīzeļdegvielai nav piemērojamas šā panta trešajā daļā noteiktās obligātā piejaukuma prasības.” Tieslietu ministrijas ieskatā šādi izņēmumi pamatā jānosaka likumā, nevis jādeleģē Ministru kabinetam noteikt izņēmumus no likuma.</w:t>
      </w:r>
    </w:p>
    <w:p w14:paraId="5979FF0D" w14:textId="77777777" w:rsidR="00493145" w:rsidRDefault="00493145" w:rsidP="00493145">
      <w:pPr>
        <w:pStyle w:val="ListParagraph"/>
        <w:numPr>
          <w:ilvl w:val="0"/>
          <w:numId w:val="3"/>
        </w:numPr>
        <w:ind w:left="0" w:firstLine="720"/>
        <w:jc w:val="both"/>
        <w:rPr>
          <w:rFonts w:ascii="Times New Roman" w:hAnsi="Times New Roman" w:cs="Times New Roman"/>
          <w:i/>
          <w:iCs/>
          <w:sz w:val="24"/>
          <w:szCs w:val="24"/>
          <w:lang w:eastAsia="lv-LV"/>
        </w:rPr>
      </w:pPr>
      <w:r>
        <w:rPr>
          <w:rFonts w:ascii="Times New Roman" w:hAnsi="Times New Roman" w:cs="Times New Roman"/>
          <w:sz w:val="24"/>
          <w:szCs w:val="24"/>
        </w:rPr>
        <w:t xml:space="preserve">Vēršam uzmanību, ka projektā ietvertie pilnvarojumi Ministru kabinetam daudzviet joprojām ir pārprotami un grūti uztverami, līdz ar to ierosinām tos precizēt. Piemēram, ierosinām projekta 5.panta sestajā daļā minētos pilnvarojumus izteikt šādi: </w:t>
      </w:r>
      <w:r>
        <w:rPr>
          <w:rFonts w:ascii="Times New Roman" w:hAnsi="Times New Roman" w:cs="Times New Roman"/>
          <w:i/>
          <w:iCs/>
          <w:sz w:val="24"/>
          <w:szCs w:val="24"/>
        </w:rPr>
        <w:t>“</w:t>
      </w:r>
      <w:bookmarkStart w:id="0" w:name="_Hlk66119373"/>
      <w:r>
        <w:rPr>
          <w:rFonts w:ascii="Times New Roman" w:hAnsi="Times New Roman" w:cs="Times New Roman"/>
          <w:i/>
          <w:iCs/>
          <w:sz w:val="24"/>
          <w:szCs w:val="24"/>
        </w:rPr>
        <w:t>Mi</w:t>
      </w:r>
      <w:r>
        <w:rPr>
          <w:rFonts w:ascii="Times New Roman" w:hAnsi="Times New Roman" w:cs="Times New Roman"/>
          <w:i/>
          <w:iCs/>
          <w:sz w:val="24"/>
          <w:szCs w:val="24"/>
          <w:lang w:eastAsia="lv-LV"/>
        </w:rPr>
        <w:t xml:space="preserve">nistru kabinets nosaka: </w:t>
      </w:r>
      <w:bookmarkEnd w:id="0"/>
      <w:r>
        <w:rPr>
          <w:rFonts w:ascii="Times New Roman" w:hAnsi="Times New Roman" w:cs="Times New Roman"/>
          <w:i/>
          <w:iCs/>
          <w:sz w:val="24"/>
          <w:szCs w:val="24"/>
          <w:lang w:eastAsia="lv-LV"/>
        </w:rPr>
        <w:t xml:space="preserve">1) prasības </w:t>
      </w:r>
      <w:r>
        <w:rPr>
          <w:rFonts w:ascii="Times New Roman" w:hAnsi="Times New Roman" w:cs="Times New Roman"/>
          <w:i/>
          <w:iCs/>
          <w:strike/>
          <w:sz w:val="24"/>
          <w:szCs w:val="24"/>
          <w:lang w:eastAsia="lv-LV"/>
        </w:rPr>
        <w:t xml:space="preserve">attiecībā uz </w:t>
      </w:r>
      <w:proofErr w:type="spellStart"/>
      <w:r>
        <w:rPr>
          <w:rFonts w:ascii="Times New Roman" w:hAnsi="Times New Roman" w:cs="Times New Roman"/>
          <w:i/>
          <w:iCs/>
          <w:sz w:val="24"/>
          <w:szCs w:val="24"/>
          <w:lang w:eastAsia="lv-LV"/>
        </w:rPr>
        <w:t>elektrotransportlīdzekļu</w:t>
      </w:r>
      <w:proofErr w:type="spellEnd"/>
      <w:r>
        <w:rPr>
          <w:rFonts w:ascii="Times New Roman" w:hAnsi="Times New Roman" w:cs="Times New Roman"/>
          <w:i/>
          <w:iCs/>
          <w:sz w:val="24"/>
          <w:szCs w:val="24"/>
          <w:lang w:eastAsia="lv-LV"/>
        </w:rPr>
        <w:t xml:space="preserve"> uzlādes punktiem, to uzstādīšanai un ekspluatācijai, kā arī to dalījumu pēc tehniskajiem un organizatoriskajiem kritērijiem; 2) prasības </w:t>
      </w:r>
      <w:r>
        <w:rPr>
          <w:rFonts w:ascii="Times New Roman" w:hAnsi="Times New Roman" w:cs="Times New Roman"/>
          <w:i/>
          <w:iCs/>
          <w:strike/>
          <w:sz w:val="24"/>
          <w:szCs w:val="24"/>
          <w:lang w:eastAsia="lv-LV"/>
        </w:rPr>
        <w:t>attiecībā uz</w:t>
      </w:r>
      <w:r>
        <w:rPr>
          <w:rFonts w:ascii="Times New Roman" w:hAnsi="Times New Roman" w:cs="Times New Roman"/>
          <w:i/>
          <w:iCs/>
          <w:sz w:val="24"/>
          <w:szCs w:val="24"/>
          <w:lang w:eastAsia="lv-LV"/>
        </w:rPr>
        <w:t xml:space="preserve"> alternatīvās degvielas </w:t>
      </w:r>
      <w:proofErr w:type="spellStart"/>
      <w:r>
        <w:rPr>
          <w:rFonts w:ascii="Times New Roman" w:hAnsi="Times New Roman" w:cs="Times New Roman"/>
          <w:i/>
          <w:iCs/>
          <w:sz w:val="24"/>
          <w:szCs w:val="24"/>
          <w:lang w:eastAsia="lv-LV"/>
        </w:rPr>
        <w:t>uzpildes</w:t>
      </w:r>
      <w:proofErr w:type="spellEnd"/>
      <w:r>
        <w:rPr>
          <w:rFonts w:ascii="Times New Roman" w:hAnsi="Times New Roman" w:cs="Times New Roman"/>
          <w:i/>
          <w:iCs/>
          <w:sz w:val="24"/>
          <w:szCs w:val="24"/>
          <w:lang w:eastAsia="lv-LV"/>
        </w:rPr>
        <w:t xml:space="preserve"> punktiem, sašķidrinātās dabasgāzes </w:t>
      </w:r>
      <w:proofErr w:type="spellStart"/>
      <w:r>
        <w:rPr>
          <w:rFonts w:ascii="Times New Roman" w:hAnsi="Times New Roman" w:cs="Times New Roman"/>
          <w:i/>
          <w:iCs/>
          <w:sz w:val="24"/>
          <w:szCs w:val="24"/>
          <w:lang w:eastAsia="lv-LV"/>
        </w:rPr>
        <w:t>uzpildes</w:t>
      </w:r>
      <w:proofErr w:type="spellEnd"/>
      <w:r>
        <w:rPr>
          <w:rFonts w:ascii="Times New Roman" w:hAnsi="Times New Roman" w:cs="Times New Roman"/>
          <w:i/>
          <w:iCs/>
          <w:sz w:val="24"/>
          <w:szCs w:val="24"/>
          <w:lang w:eastAsia="lv-LV"/>
        </w:rPr>
        <w:t xml:space="preserve"> punktiem un krasta elektroapgādes punktiem, to uzstādīšanai un ekspluatācijai, kā arī tehniskās specifikācijas krasta </w:t>
      </w:r>
      <w:proofErr w:type="spellStart"/>
      <w:r>
        <w:rPr>
          <w:rFonts w:ascii="Times New Roman" w:hAnsi="Times New Roman" w:cs="Times New Roman"/>
          <w:i/>
          <w:iCs/>
          <w:sz w:val="24"/>
          <w:szCs w:val="24"/>
          <w:lang w:eastAsia="lv-LV"/>
        </w:rPr>
        <w:t>elektropadeves</w:t>
      </w:r>
      <w:proofErr w:type="spellEnd"/>
      <w:r>
        <w:rPr>
          <w:rFonts w:ascii="Times New Roman" w:hAnsi="Times New Roman" w:cs="Times New Roman"/>
          <w:i/>
          <w:iCs/>
          <w:sz w:val="24"/>
          <w:szCs w:val="24"/>
          <w:lang w:eastAsia="lv-LV"/>
        </w:rPr>
        <w:t xml:space="preserve"> iekārtām; </w:t>
      </w:r>
      <w:bookmarkStart w:id="1" w:name="_Hlk65760954"/>
      <w:bookmarkStart w:id="2" w:name="_Hlk66119364"/>
      <w:r>
        <w:rPr>
          <w:rFonts w:ascii="Times New Roman" w:hAnsi="Times New Roman" w:cs="Times New Roman"/>
          <w:i/>
          <w:iCs/>
          <w:sz w:val="24"/>
          <w:szCs w:val="24"/>
        </w:rPr>
        <w:t xml:space="preserve">3) kritērijus degvielas uzlādes vai </w:t>
      </w:r>
      <w:proofErr w:type="spellStart"/>
      <w:r>
        <w:rPr>
          <w:rFonts w:ascii="Times New Roman" w:hAnsi="Times New Roman" w:cs="Times New Roman"/>
          <w:i/>
          <w:iCs/>
          <w:sz w:val="24"/>
          <w:szCs w:val="24"/>
        </w:rPr>
        <w:t>uzpildes</w:t>
      </w:r>
      <w:proofErr w:type="spellEnd"/>
      <w:r>
        <w:rPr>
          <w:rFonts w:ascii="Times New Roman" w:hAnsi="Times New Roman" w:cs="Times New Roman"/>
          <w:i/>
          <w:iCs/>
          <w:sz w:val="24"/>
          <w:szCs w:val="24"/>
        </w:rPr>
        <w:t xml:space="preserve"> punkta izveidei degvielas </w:t>
      </w:r>
      <w:proofErr w:type="spellStart"/>
      <w:r>
        <w:rPr>
          <w:rFonts w:ascii="Times New Roman" w:hAnsi="Times New Roman" w:cs="Times New Roman"/>
          <w:i/>
          <w:iCs/>
          <w:sz w:val="24"/>
          <w:szCs w:val="24"/>
        </w:rPr>
        <w:t>uzpildes</w:t>
      </w:r>
      <w:proofErr w:type="spellEnd"/>
      <w:r>
        <w:rPr>
          <w:rFonts w:ascii="Times New Roman" w:hAnsi="Times New Roman" w:cs="Times New Roman"/>
          <w:i/>
          <w:iCs/>
          <w:sz w:val="24"/>
          <w:szCs w:val="24"/>
        </w:rPr>
        <w:t xml:space="preserve"> stacijās, prasības degvielas uzlādes vai </w:t>
      </w:r>
      <w:proofErr w:type="spellStart"/>
      <w:r>
        <w:rPr>
          <w:rFonts w:ascii="Times New Roman" w:hAnsi="Times New Roman" w:cs="Times New Roman"/>
          <w:i/>
          <w:iCs/>
          <w:sz w:val="24"/>
          <w:szCs w:val="24"/>
        </w:rPr>
        <w:t>uzpildes</w:t>
      </w:r>
      <w:proofErr w:type="spellEnd"/>
      <w:r>
        <w:rPr>
          <w:rFonts w:ascii="Times New Roman" w:hAnsi="Times New Roman" w:cs="Times New Roman"/>
          <w:i/>
          <w:iCs/>
          <w:sz w:val="24"/>
          <w:szCs w:val="24"/>
        </w:rPr>
        <w:t xml:space="preserve"> punktiem, kā arī kārtību, kā novērtē šā panta otrajā daļā minētās tehniskajās iespējas un izmaksu efektivitāti; </w:t>
      </w:r>
      <w:bookmarkEnd w:id="1"/>
      <w:bookmarkEnd w:id="2"/>
      <w:r>
        <w:rPr>
          <w:rFonts w:ascii="Times New Roman" w:hAnsi="Times New Roman" w:cs="Times New Roman"/>
          <w:i/>
          <w:iCs/>
          <w:sz w:val="24"/>
          <w:szCs w:val="24"/>
        </w:rPr>
        <w:t xml:space="preserve">4) </w:t>
      </w:r>
      <w:r>
        <w:rPr>
          <w:rFonts w:ascii="Times New Roman" w:hAnsi="Times New Roman" w:cs="Times New Roman"/>
          <w:i/>
          <w:iCs/>
          <w:sz w:val="24"/>
          <w:szCs w:val="24"/>
          <w:lang w:eastAsia="lv-LV"/>
        </w:rPr>
        <w:t>šā panta trešajā daļā minēto ziņu sniegšanas kārtību.”</w:t>
      </w:r>
      <w:r>
        <w:rPr>
          <w:rFonts w:ascii="Times New Roman" w:hAnsi="Times New Roman" w:cs="Times New Roman"/>
          <w:sz w:val="24"/>
          <w:szCs w:val="24"/>
          <w:lang w:eastAsia="lv-LV"/>
        </w:rPr>
        <w:t xml:space="preserve"> Arī citus projektā ietvertos pilnvarojumus ierosinām precizēt atbilstoši Noteikumu Nr.108 prasībām.</w:t>
      </w:r>
    </w:p>
    <w:p w14:paraId="383A819F" w14:textId="77777777" w:rsidR="00493145" w:rsidRDefault="00493145" w:rsidP="00493145">
      <w:pPr>
        <w:pStyle w:val="ListParagraph"/>
        <w:numPr>
          <w:ilvl w:val="0"/>
          <w:numId w:val="3"/>
        </w:numPr>
        <w:ind w:left="0" w:firstLine="720"/>
        <w:jc w:val="both"/>
        <w:rPr>
          <w:rFonts w:ascii="Times New Roman" w:hAnsi="Times New Roman" w:cs="Times New Roman"/>
          <w:i/>
          <w:iCs/>
          <w:sz w:val="24"/>
          <w:szCs w:val="24"/>
          <w:lang w:eastAsia="lv-LV"/>
        </w:rPr>
      </w:pPr>
      <w:r>
        <w:rPr>
          <w:rFonts w:ascii="Times New Roman" w:hAnsi="Times New Roman" w:cs="Times New Roman"/>
          <w:sz w:val="24"/>
          <w:szCs w:val="24"/>
        </w:rPr>
        <w:t>Saistībā ar projekta 7. pantā noteiktajiem pienākumiem projekta anotācijā norādīts: "Par šajā pantā noteiktā pienākuma – informācijas sniegšana, neizpildi ir jāpiemēro Administratīvo sodu likuma par pārkāpumiem pārvaldes, sabiedriskās kārtības un valsts valodas lietošanas jomā 3. pants." Aicinām precizēt projekta anotācijā ietverto skaidrojumu (piemēram, norādot attiecīgo panta daļu, detalizētāk raksturojot informācijas sniegšanas pienākumu – kāda informācija, kam tā sniedzama). Jāievēro, ka Administratīvo sodu likuma par pārkāpumiem pārvaldes, sabiedriskās kārtības un valsts valodas lietošanas jomā 3. pants attiecas tikai uz likumā noteiktu pienākumu sniegt informāciju iestādei. Proti, tas neaptver pienākumu sniegt informāciju privātpersonām vai tādu pienākumu, ko nosaka iestāde ar lēmumu, lai arī balstoties uz likumu.</w:t>
      </w:r>
    </w:p>
    <w:p w14:paraId="378B79D1" w14:textId="77777777" w:rsidR="00493145" w:rsidRDefault="00493145" w:rsidP="00493145">
      <w:pPr>
        <w:ind w:firstLine="360"/>
        <w:jc w:val="both"/>
        <w:rPr>
          <w:rFonts w:ascii="Times New Roman" w:hAnsi="Times New Roman" w:cs="Times New Roman"/>
          <w:sz w:val="24"/>
          <w:szCs w:val="24"/>
        </w:rPr>
      </w:pPr>
    </w:p>
    <w:p w14:paraId="7CCD2495" w14:textId="77777777" w:rsidR="00493145" w:rsidRDefault="00493145" w:rsidP="00493145">
      <w:pPr>
        <w:ind w:firstLine="360"/>
        <w:jc w:val="both"/>
        <w:rPr>
          <w:rFonts w:ascii="Times New Roman" w:hAnsi="Times New Roman" w:cs="Times New Roman"/>
          <w:sz w:val="24"/>
          <w:szCs w:val="24"/>
        </w:rPr>
      </w:pPr>
      <w:r>
        <w:rPr>
          <w:rFonts w:ascii="Times New Roman" w:hAnsi="Times New Roman" w:cs="Times New Roman"/>
          <w:sz w:val="24"/>
          <w:szCs w:val="24"/>
        </w:rPr>
        <w:t xml:space="preserve">Ar cieņu, </w:t>
      </w:r>
    </w:p>
    <w:p w14:paraId="65016A47" w14:textId="77777777" w:rsidR="00493145" w:rsidRDefault="00493145" w:rsidP="00493145"/>
    <w:p w14:paraId="02571344" w14:textId="77777777" w:rsidR="00493145" w:rsidRDefault="00493145" w:rsidP="00493145"/>
    <w:p w14:paraId="618AD9A3" w14:textId="77777777" w:rsidR="00493145" w:rsidRDefault="00493145" w:rsidP="00493145">
      <w:pPr>
        <w:rPr>
          <w:b/>
          <w:bCs/>
          <w:sz w:val="20"/>
          <w:szCs w:val="20"/>
        </w:rPr>
      </w:pPr>
      <w:r>
        <w:rPr>
          <w:b/>
          <w:bCs/>
          <w:sz w:val="20"/>
          <w:szCs w:val="20"/>
        </w:rPr>
        <w:t>Andra Reinfelde</w:t>
      </w:r>
    </w:p>
    <w:p w14:paraId="26CC3C6D" w14:textId="77777777" w:rsidR="00493145" w:rsidRDefault="00493145" w:rsidP="00493145">
      <w:pPr>
        <w:rPr>
          <w:sz w:val="20"/>
          <w:szCs w:val="20"/>
        </w:rPr>
      </w:pPr>
      <w:r>
        <w:rPr>
          <w:sz w:val="20"/>
          <w:szCs w:val="20"/>
        </w:rPr>
        <w:t xml:space="preserve">Valststiesību departamenta </w:t>
      </w:r>
    </w:p>
    <w:p w14:paraId="0436F5E5" w14:textId="77777777" w:rsidR="00493145" w:rsidRDefault="00493145" w:rsidP="00493145">
      <w:pPr>
        <w:rPr>
          <w:sz w:val="20"/>
          <w:szCs w:val="20"/>
        </w:rPr>
      </w:pPr>
      <w:r>
        <w:rPr>
          <w:sz w:val="20"/>
          <w:szCs w:val="20"/>
        </w:rPr>
        <w:t>Starptautisko publisko tiesību nodaļas juriste</w:t>
      </w:r>
    </w:p>
    <w:p w14:paraId="4B8412EE" w14:textId="77777777" w:rsidR="00493145" w:rsidRDefault="00493145" w:rsidP="00493145">
      <w:pPr>
        <w:rPr>
          <w:rFonts w:ascii="Times New Roman" w:hAnsi="Times New Roman" w:cs="Times New Roman"/>
          <w:sz w:val="20"/>
          <w:szCs w:val="20"/>
          <w:lang w:val="en" w:eastAsia="lv-LV"/>
        </w:rPr>
      </w:pPr>
      <w:r>
        <w:rPr>
          <w:sz w:val="20"/>
          <w:szCs w:val="20"/>
        </w:rPr>
        <w:t>67046108</w:t>
      </w:r>
      <w:r>
        <w:rPr>
          <w:sz w:val="20"/>
          <w:szCs w:val="20"/>
          <w:lang w:eastAsia="lv-LV"/>
        </w:rPr>
        <w:t xml:space="preserve">, </w:t>
      </w:r>
      <w:hyperlink r:id="rId6" w:history="1">
        <w:r>
          <w:rPr>
            <w:rStyle w:val="Hyperlink"/>
            <w:sz w:val="20"/>
            <w:szCs w:val="20"/>
            <w:lang w:eastAsia="lv-LV"/>
          </w:rPr>
          <w:t>andra.reinfelde@tm.gov.lv</w:t>
        </w:r>
      </w:hyperlink>
    </w:p>
    <w:p w14:paraId="24D70BE7" w14:textId="77777777" w:rsidR="00493145" w:rsidRDefault="00493145" w:rsidP="00493145">
      <w:pPr>
        <w:jc w:val="both"/>
      </w:pPr>
    </w:p>
    <w:p w14:paraId="68F075C8" w14:textId="77777777" w:rsidR="00493145" w:rsidRDefault="00493145" w:rsidP="00493145">
      <w:pPr>
        <w:jc w:val="both"/>
        <w:rPr>
          <w:sz w:val="20"/>
          <w:szCs w:val="20"/>
        </w:rPr>
      </w:pPr>
      <w:r>
        <w:rPr>
          <w:sz w:val="20"/>
          <w:szCs w:val="20"/>
        </w:rPr>
        <w:t xml:space="preserve">Viedokļa sniedzējs – </w:t>
      </w:r>
    </w:p>
    <w:p w14:paraId="6BE363D4" w14:textId="77777777" w:rsidR="00493145" w:rsidRDefault="00493145" w:rsidP="00493145">
      <w:pPr>
        <w:jc w:val="both"/>
        <w:rPr>
          <w:b/>
          <w:bCs/>
          <w:sz w:val="20"/>
          <w:szCs w:val="20"/>
        </w:rPr>
      </w:pPr>
      <w:r>
        <w:rPr>
          <w:b/>
          <w:bCs/>
          <w:sz w:val="20"/>
          <w:szCs w:val="20"/>
        </w:rPr>
        <w:t>Sandis Vilcāns</w:t>
      </w:r>
    </w:p>
    <w:p w14:paraId="0D79A49E" w14:textId="77777777" w:rsidR="00493145" w:rsidRDefault="00493145" w:rsidP="00493145">
      <w:pPr>
        <w:jc w:val="both"/>
        <w:rPr>
          <w:sz w:val="20"/>
          <w:szCs w:val="20"/>
        </w:rPr>
      </w:pPr>
      <w:r>
        <w:rPr>
          <w:sz w:val="20"/>
          <w:szCs w:val="20"/>
        </w:rPr>
        <w:t>Valststiesību departamenta</w:t>
      </w:r>
    </w:p>
    <w:p w14:paraId="0EAD0AC2" w14:textId="77777777" w:rsidR="00493145" w:rsidRDefault="00493145" w:rsidP="00493145">
      <w:pPr>
        <w:jc w:val="both"/>
        <w:rPr>
          <w:sz w:val="20"/>
          <w:szCs w:val="20"/>
        </w:rPr>
      </w:pPr>
      <w:r>
        <w:rPr>
          <w:sz w:val="20"/>
          <w:szCs w:val="20"/>
        </w:rPr>
        <w:t xml:space="preserve">Administratīvās atbildības politikas nodaļas jurists </w:t>
      </w:r>
    </w:p>
    <w:p w14:paraId="1F826149" w14:textId="77777777" w:rsidR="00493145" w:rsidRDefault="00493145" w:rsidP="00493145">
      <w:pPr>
        <w:jc w:val="both"/>
        <w:rPr>
          <w:sz w:val="20"/>
          <w:szCs w:val="20"/>
        </w:rPr>
      </w:pPr>
      <w:hyperlink r:id="rId7" w:history="1">
        <w:r>
          <w:rPr>
            <w:rStyle w:val="Hyperlink"/>
            <w:sz w:val="20"/>
            <w:szCs w:val="20"/>
          </w:rPr>
          <w:t>Sandis.vilcans@tm.gov.lv</w:t>
        </w:r>
      </w:hyperlink>
    </w:p>
    <w:p w14:paraId="67DAF8D2" w14:textId="77777777" w:rsidR="00493145" w:rsidRDefault="00493145" w:rsidP="00493145"/>
    <w:p w14:paraId="5AC5EEDC" w14:textId="77777777" w:rsidR="00493145" w:rsidRDefault="00493145">
      <w:bookmarkStart w:id="3" w:name="_GoBack"/>
      <w:bookmarkEnd w:id="3"/>
    </w:p>
    <w:sectPr w:rsidR="004931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D63A9E"/>
    <w:multiLevelType w:val="hybridMultilevel"/>
    <w:tmpl w:val="8DE8A466"/>
    <w:lvl w:ilvl="0" w:tplc="4DB8FF18">
      <w:start w:val="1"/>
      <w:numFmt w:val="decimal"/>
      <w:lvlText w:val="%1."/>
      <w:lvlJc w:val="left"/>
      <w:pPr>
        <w:ind w:left="1080" w:hanging="360"/>
      </w:pPr>
      <w:rPr>
        <w:i w:val="0"/>
        <w:iCs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5CBE2F89"/>
    <w:multiLevelType w:val="hybridMultilevel"/>
    <w:tmpl w:val="F26245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E378FD16">
      <w:start w:val="1"/>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2364E79"/>
    <w:multiLevelType w:val="hybridMultilevel"/>
    <w:tmpl w:val="03866D88"/>
    <w:lvl w:ilvl="0" w:tplc="51BE4DB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45"/>
    <w:rsid w:val="004931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89DF"/>
  <w15:chartTrackingRefBased/>
  <w15:docId w15:val="{7861AE27-0D3B-47C4-9569-4A0BB739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4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3145"/>
    <w:rPr>
      <w:color w:val="0563C1"/>
      <w:u w:val="single"/>
    </w:rPr>
  </w:style>
  <w:style w:type="paragraph" w:styleId="NormalWeb">
    <w:name w:val="Normal (Web)"/>
    <w:basedOn w:val="Normal"/>
    <w:uiPriority w:val="99"/>
    <w:semiHidden/>
    <w:unhideWhenUsed/>
    <w:rsid w:val="00493145"/>
    <w:pPr>
      <w:spacing w:before="100" w:beforeAutospacing="1" w:after="100" w:afterAutospacing="1"/>
    </w:pPr>
    <w:rPr>
      <w:lang w:eastAsia="lv-LV"/>
    </w:rPr>
  </w:style>
  <w:style w:type="paragraph" w:styleId="ListParagraph">
    <w:name w:val="List Paragraph"/>
    <w:basedOn w:val="Normal"/>
    <w:uiPriority w:val="34"/>
    <w:qFormat/>
    <w:rsid w:val="00493145"/>
    <w:pPr>
      <w:spacing w:after="160"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96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dis.vilcans@t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a.reinfelde@tm.gov.lv" TargetMode="External"/><Relationship Id="rId5" Type="http://schemas.openxmlformats.org/officeDocument/2006/relationships/hyperlink" Target="https://tai.mk.gov.lv/book/1/chapter/9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6372</Words>
  <Characters>3633</Characters>
  <Application>Microsoft Office Word</Application>
  <DocSecurity>0</DocSecurity>
  <Lines>30</Lines>
  <Paragraphs>19</Paragraphs>
  <ScaleCrop>false</ScaleCrop>
  <Company/>
  <LinksUpToDate>false</LinksUpToDate>
  <CharactersWithSpaces>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1</cp:revision>
  <dcterms:created xsi:type="dcterms:W3CDTF">2021-06-18T07:22:00Z</dcterms:created>
  <dcterms:modified xsi:type="dcterms:W3CDTF">2021-06-18T07:22:00Z</dcterms:modified>
</cp:coreProperties>
</file>