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25-TA-2535: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ilgtspējīgas enerģijas tehnoloģiju attīstības plāns līdz 2035.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27.11.2025. 18:00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3.4.19. pasākumu, ka stimulēt nepieciešams atjaunīgā ūdeņraža pieprasījumu. Veicinot neatjaunīgā ūdeņraža izmantošanu, tas ne vien nesniegs pienesumu Latvijai saistoša atjaunīgās enerģijas mērķa izpildē, bet arī radīs nepieciešamību ieviest papildu pasākumus atjaunīga ūdeņraža izmantošanai, saskaņā ar Atjaunīgās enerģijas direktīvu, kas paredz papildu RFNBO apakšmērķi gadījumā, ja dalībvalstī tiek izmantots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3.4.19. Stimulēt vietējo pieprasījumu -  EM, KEM un SM savas kompetences jomās izstrādāt atbalsta programmas </w:t>
            </w:r>
            <w:r w:rsidR="00000000" w:rsidRPr="00000000" w:rsidDel="00000000">
              <w:rPr>
                <w:b w:val="1"/>
                <w:rtl w:val="0"/>
              </w:rPr>
              <w:t xml:space="preserve">atjaunīgā</w:t>
            </w:r>
            <w:r w:rsidR="00000000" w:rsidRPr="00000000" w:rsidDel="00000000">
              <w:rPr>
                <w:rtl w:val="0"/>
              </w:rPr>
              <w:t xml:space="preserve"> ūdeņraža  izmantošanai sabiedriskajā transportā, rūpniecībā un enerģētikā, kā arī attīstīt inovatīvā publiskā iepirkuma veicinošus pasākumus un demonstrācijas pilotprojektu ātrai realizācijai, jo īpaši ar augstu vietējā ražojuma komponenšu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3.4.7.1. EM, KEM un SM savas kompetences jomās izstrādāt atbalsta programmas </w:t>
            </w:r>
            <w:r w:rsidR="00000000" w:rsidRPr="00000000" w:rsidDel="00000000">
              <w:rPr>
                <w:b w:val="1"/>
                <w:rtl w:val="0"/>
              </w:rPr>
              <w:t xml:space="preserve">atjaunīgā</w:t>
            </w:r>
            <w:r w:rsidR="00000000" w:rsidRPr="00000000" w:rsidDel="00000000">
              <w:rPr>
                <w:rtl w:val="0"/>
              </w:rPr>
              <w:t xml:space="preserve"> ūdeņraža izmantošanai lielas noslodzes transportā, rūpniecībā un enerģētikā, kā arī attīstīt inovatīvā publiskā iepirkuma veicinošus pasākumus un demonstrācijas pilotprojektu ātrai realizācijai, jo īpaši ar augstu vietējā ražojuma komponenšu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2.4.11. apakšpunktā minēto pasākumu, kas paredz Ekonomikas ministrijai sadarbībā ar Klimata un enerģētikas ministriju izvērtēt un īstenot mehānismus ar mērķi veicināt elektroenerģijas tīkla pakalpojumu tarifu īpatnējo izmaksu samazinājumu energointensīvajiem uzņēmumiem. Norādāms, ka saskaņā ar likumā “Par sabiedrisko pakalpojumu regulatoriem” sabiedrisko pakalpojumu, tajā skaitā elektroenerģijas sistēmas (nevis tīkla, kā minēts informatīvajā ziņojumā) pakalpojumu tarifu noteikšana ir Sabiedrisko pakalpojumu regulēšanas komisijas kompetencē. Turklāt Eiropas Savienības elektroenerģijas iekšējā tirgus regulējums vērsts uz to, lai lietotāju šķērssubsidēšana netiktu pieļauta.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 atbilstoši ar KEM e-pastā saskaņotai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2.4.7.1. EM koordinācijā ar FM un KEM izvērtēt un sniegt priekšlikumus mehānismiem ar mērķi radīt atbalsta pasākumus elektroenerģijas izmaksu samazinājumam energointensīvajiem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Klimata un enerģētikas ministrijas informatīvais ziņojums “Industriālā dekarbonizācija, veicot oglekļa uztveršanu, izmantošanu un uzglabāšanu” ir ierobežotas pieejamības informācija un nav vēl Ministru kabinetā izskatīts, paredzētās oglekļa uztveršana un uzglabāšana nozares attīstības apraksts ir izslēdzams no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Izslēgts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atbilstoši KEM piedāvātajam risinājumam nozares attīstība būtu jāveic pakāpeniski, sākot ar vienu, uz nacionālām vajadzībām vērstu pilotprojektu. Šobrīd identificēts, ka potenciālās ieinteresētās nozares ir cementa ražošana un enerģētikas nozare.  No uztveršanas iekārtas uz krātuvi CO₂  tiek novadīts pa cauruļvadiem. Izveidotā CO₂  glabātuve potenciāli var apmierināt arī citas  emisiju intensīvās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CO2 infrastruktūras attīstība balstās tirgus ekonomikas principos.  Tiek paredzēts, ka vienotais dabasgāzes pārvades un uzglabāšanas sistēmas operators valsts līmenī tiek noteikts  kā CO2 transportēšanas un uzglabāšanas operators, bet CO2 aktīvu īpašnieki – personas vai personu apvienība, kas veikusi attiecīgo aktīvu izbūvi (prioritāte tiem, kas veikuši attiecīgās teritorijas izpēti), paredzot arī vienotā dabasgāzes pārvades un uzglabāšanas sistēmas operatora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Tālākā laika posmā tiek veikta izpēte un invertējums CO2 noglabāšanai plašākām reģionālām un importa vajadzībām, tajā skaitā par nepieciešamām krātuvēm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uzraudzības sadaļā izveidot skaidru indikatoru kopu, kas papildus ekonomiskajiem rādītājiem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SEG emisiju līmeni rūpniecības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fosilo kurināmo un AER īpatsvaru rūpniecības enerģijas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galveno zaļo tehnoloģiju ieviešanas progresu.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sadaļas "Ieviešana un rīcības" 1. punkts izteikts šādā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līdz 2026. gada 1. jūnijam un pēc tam regulāri reizi trijos gados  sagatavo un iesniedz izskatīšanai Ministru kabinetā ziņojumu par  mērķu, rīcības virzienu un pasākumu izpildi, norādot progresu rezultatīvo rādītāju sasniegšanā,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1.1.SEG emisiju līmeni rūpniecības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fosilo kurināmo un AER īpatsvaru rūpniecības enerģijas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nozīmīgāko zaļo tehnoloģiju ieviešanas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paredzēta biomasas izmantošanas paplašināšana un bioekonomikas attīstība, taču nav sasaistes ar ZIZIMM, enerģētikas mērķiem un dabas atjaunošanas prasībām. Kā, piemēram, ZIZIMM kontekstā ir svarīgi sekmēt apaļkoksnes pārstrādi uz vietas, tādejādi radot arī augstākas pievonotās vērtības produktus. Tāpēc lūdzam plānā skaidri ierakstīt, ka biomasas izmantošana rūpniecībā un enerģētikā tiek attīstīta: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ZIZIMM mērķiem un ES dabas atjaunošanas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prioritāri izmantojot blakusproduktus un atliekas un nepasliktinot meža oglekļa krājumus.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risku sadaļā iekļaut atsevišķu risku par biomasas resursu pieejamību un iespējamo negatīvo ietekmi uz ZIZIMM bilanci un SEG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 riskiem - 2.1.3.8. Biomasas resursu pieejamība un iespējamā negatīvā ietekme uz ZIZIMM bilanci un SEG mērķu sasniegšanu, attiecīgi precizējot tālāko numerāciju.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2.3.2.1.  Turpināt ilgtspējīgas biomasas izmantošanu ņemot vērā Latvijas ZIZIMM mērķus un ES dabas atjaunošanas regulas prasības, prioritāri izmantojot blakusproduktus un atliekas un nepasliktinot meža oglekļa krājumus, kā arī veicināt citu AER (piemēram, saules un vēja enerģijas) plašāku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saīsinājumu saraksts: ZIZIMM - zemes izmantošana, zemes izmantošanas maiņa un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11. lapaspusē, atsauces Nr. 13 saturu, kur ir norādīts, ka Enerģētikas un vides aģentūrā ir izveidots vienotais kontaktpunkts, kur centralizēti ir iespējams saņemt visu nepieciešamo informāciju par enerģijas ražošanas iekārtu ieviešanai un ekspluatācijas uzsākšanai nepieciešamajām atļaujām un tehniskajām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ar 2025. gada 1.oktobri ir likvidēta un pievienota Valsts vides dienestam, attiecīgi par visām enerģētikas politikas īstenošanas un uzraudzības funkcijām, tajā skaitā par vienotā kontaktpunkta funkcijām, šobrīd ir atbildīgs Valsts vides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attiecīgi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ietver pasākumus, kas paredz arī atbalsta programmu izstrādi, vienlaikus attiecīgie pasākumi ir bez finansiālā seguma, aicinām plāna projektu saskaņot arī ar Finanšu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normas nav mainītas, kopš ar FM tika saskaņots informatīvā ziņojuma projekts, kurš atbilstoši Valsts kancelejas uzstādījumam tika pārveidots par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paredzēto Latvijas ilgtspējīgas enerģijas tehnoloģiju attīstības rīcības virzienu un prioritāro pasākumu īstenošanai tiks vērtētas iespējas tos īstenot ES fondu un tam paredzētā nacionālā līdzfinansējuma ietvaros, pamatā orientējoties uz nākamo fondu plānošanas periodu, kā arī ES horizontālajām programmām un klimata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2.4. sadaļā ietvertā 2.2.13. pasākuma piemēru (izvērtēt ETS ieņēmumu reinvestēšanu energoefektivitātes projektos) domāts EM sadarbībā ar KEM izvērtēt iespēju minētajam pasākumam novirzīt ieņēmumus, kas gūti no emisijas kvotu izsolīšanas, t.i., Emisijas kvotu izsolīšanas instrumenta vai Modernizācijas fonda, aicinām ņemt vērā, ka atbilstoši likuma "Par piesārņojumu" 32.</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3</w:t>
            </w:r>
            <w:r w:rsidR="00000000" w:rsidRPr="00000000" w:rsidDel="00000000">
              <w:rPr>
                <w:rtl w:val="0"/>
              </w:rPr>
              <w:t xml:space="preserve"> daļai un 32.</w:t>
            </w:r>
            <w:r w:rsidR="00000000" w:rsidRPr="00000000" w:rsidDel="00000000">
              <w:rPr>
                <w:vertAlign w:val="superscript"/>
                <w:rtl w:val="0"/>
              </w:rPr>
              <w:t xml:space="preserve">12</w:t>
            </w:r>
            <w:r w:rsidR="00000000" w:rsidRPr="00000000" w:rsidDel="00000000">
              <w:rPr>
                <w:rtl w:val="0"/>
              </w:rPr>
              <w:t xml:space="preserve"> panta ceturtajai daļai šo budžeta programmu (apakšprogrammu) izpildītāja ir KEM, t.i., izvērtēt iespēju novirzīt finansējumu kādai aktivitātei var KEM sadarbībā ar citām iestādēm. Papildus iepriekš minētajam, prioritārie atbalsta virzieni, ņemot vērā izstrādātu pasākumu izvērtēšanas metodiku un abu iepriekš minēto instrumentu mērķus, tiks noteikti emisijas kvotu izsoļu ieņēmumu izmantošanas stratēģijā, savukārt attiecībā uz Modernizācijas fondu prioritārie atbalsta virzieni tiek definēti arī Ministru kabineta noteikumos. Laika periodam līdz 2027. gadam prioritārie atbalsta virzieni ir noteikti Ministru kabineta 2023. gada 13. jūlija noteikumos Nr. 396 "Modernizācijas fonda darbības kārtības noteikumi un daudzgadu darbības programma". Ņemot vērā iepriekš minēto, aicinām svītrot teikuma daļu iekavās "(piemēram, izvērtēt ETS ieņēmumu reinvestēšanu energoefektivitātes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2.4.4.’ apakšapakšpunktu, ka EM nākotnes atbalsta programmās iekļauj uzņēmumu energoaudita un/vai energopārvaldības sistēmas ieviešanas izmaksas. Attiecināmās izmaksas attiecinot īpaši uz mikro, maziem un vidējiem uzņēmumiem. Kā arī sniedz tehnisko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ka izmaksu attiecināšana un tehniskais atbalsts palīdzēs uzņēmumiem veikt ekonomiski un finansiāli pamatotas investīcijas, uz tehniskā pamatojuma izvēlēties visenergoefektīvāko tehnoloģiju un pozitīvi ietekmēt lēmumu pieņemšanu par ilgtermiņa (10-20 gadi) investīciju. Papildus, valstij tā ir iespēja apgūt fondus ar lielāku efektivitāti un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EM energoefektivitātes atbalsta programmās uzņēmumiem paredz, ka uzņēmumiem, kuriem likumdošana nenosaka obligātas prasības uzņēmumu energoauditu veikšanai vai energopārvaldības sistēmas ieviešanai, atbalsta programmas ietvaros papildus izmaksām par īstenoto energoefektivitātes uzlabošanas pasākumu veikšanu attiecināmajās izmaksās tiek iekļautas veikto uzņēmumu energoauditu izmaksas un izmaksas par energopārvaldības sistēmas ieviešanu, kā arī paredz iespēju sniegt tiem tehnisko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attiecīgi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EM energoefektivitātes uzlabošanas atbalsta programmās uzņēmumiem paredzēt, ka uzņēmumiem, kuriem likumdošana nenosaka obligātas prasības uzņēmumu energoauditu un energopārvaldības sistēmu ieviešanai, atbalsta programmas ietvaros papildus izmaksām par īstenoto energoefektivitātes uzlabošanas pasākumu veikšanu attiecināmajās izmaksās tiek iekļautas veikto uzņēmumu energoauditu izmaksas un izmaksas par energopārvaldības sistēmas ieviešanu, kā arī iespēju sniegt tiem tehnisko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rindkopu (2.1.2. sadaļā zem 9. attēla) un skaidrot, kuri plānošanas dokumenti paredz ambiciozāku un izpildāmu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NEKP mērķa scenārija pieņēmums </w:t>
            </w:r>
            <w:r w:rsidR="00000000" w:rsidRPr="00000000" w:rsidDel="00000000">
              <w:rPr>
                <w:b w:val="1"/>
                <w:rtl w:val="0"/>
              </w:rPr>
              <w:t xml:space="preserve">balstās uz Ekonomikas ministrijas sniegtajām prognozēm, kas </w:t>
            </w:r>
            <w:r w:rsidR="00000000" w:rsidRPr="00000000" w:rsidDel="00000000">
              <w:rPr>
                <w:rtl w:val="0"/>
              </w:rPr>
              <w:t xml:space="preserve">neņem vērā citus plānošanas dokumentus, kas paredz ambiciozāku ekonomikas attīstību, tāpēc Ekonomikas ministrija sadarbībā ar zinātniekiem strādās pie šo prognožu savstarpējas harmonizācijas.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izteikta šādā redakcijā pēc būtības ņemot vērā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EM izstrādātais Informatīvais ziņojums par Latvijas ekonomikas attīstību[1]   paredz ambiciozāku ekonomikas attīstību, tāpēc Ekonomikas ministrija sadarbībā ar zinātniekiem strādās pie šo prognožu savstarpējas harmonizācijas.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Latvijas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lūdz precizēt 2.2.2.punktā noteiktā mērķa redakciju '" Palielināt AER īpatsvaru rūpniecībā"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Palielināt AER īpatsvaru rūpniecībā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Plāna projekta saskaņošanu ar visām par pasākumiem atbildīgajām / līdzatbildīgajām iestādēm, piemēram, Zemkopības ministriju, kas minēta pie 3.4.2.pasākuma, Finanšu ministriju, kas minēta pie 1.4.13. pasākuma, Izglītības un zinātnes ministriju, kas minēta pie 3.4.23.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tika pilnībā saskaņots ar iesaistītajām mininstrijām, taču Valsts kanceleja uzdeva to pārveidot par plānu, neprasot atkārtotu saskānošanu. Ņemot vērā, ka veicot tehnisku pārveidošanu, atsevišķi ar KEM saistīti uzdevumi tomēr pamainījās, EM uzskatīja par lietderīgu plānu saskaņot ar KEM.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3.4.2. pasākumam, kas paredz ūdeņraža ekonomikā iekļaut arī ilgtspējīgu biomasu. Norādām, ka ūdeņraža ražošanai būtu jānotiek galvenokārt elektroenerģijas, bet ilgtspējīgā biomasas primāri būtu saglabājama tikai un vienīgi siltumenerģijas ražošanai. Norādām, ka jau šobrīd biomasa kā izejviela kurināmo / degvielu ražošanā būtu pārdomājama kopumā, ņemot vērā Eiropas Savienības kopējos uzstādījumus gan biomasas izmantošanas atbalstam (kaskadēšanas principa ievērošana), gan biomasas izmantošanai - atbilstība ilgtspējas un emisiju ietaupījumu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kurināmā ražošanas ķēdēm ir jābūt īsām, un izejviela kā kurināmais būtu izmantojama uzreiz ar minimālu pārveidi citā izejvielā vai kurināmajām.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novērtēt, vai šāds ūdeņradis pēc būtības atbilstu ilgtspējas un emisiju ietaupījumu kritērijiem, kas noteikti Regulā 2023/1185, un tādējādi būtu izmantojams kā kurināmais /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skaidrot, kā ir paredzēts ūdeņraža ekonomikā iekļaut biomasu vai atkritumus.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un saskaņota ar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EM sadarbībā ar KEM un ZM, kā arī ieinteresētajiem komersantiem inovatīvu ūdeņraža ražošanas tehnoloģiju izstrādi, kas veicinātu ilgtspējīgas bioekonomikas  un aprites ekonomikas attīstību Latvijas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ierosina precizēt 2.4.13. pasākuma aprakstu, no tā svītrojot "(piemēram, izvērtēt ETS ieņēmumu reinvestēšanu energoefektivitātes projektos)", jo atbilstoši likuma "Par piesārņojumu" 32.</w:t>
            </w:r>
            <w:r w:rsidR="00000000" w:rsidRPr="00000000" w:rsidDel="00000000">
              <w:rPr>
                <w:vertAlign w:val="superscript"/>
                <w:rtl w:val="0"/>
              </w:rPr>
              <w:t xml:space="preserve">28</w:t>
            </w:r>
            <w:r w:rsidR="00000000" w:rsidRPr="00000000" w:rsidDel="00000000">
              <w:rPr>
                <w:rtl w:val="0"/>
              </w:rPr>
              <w:t xml:space="preserve"> panta otrajai daļai Emisijas kvotu tirdzniecības sistēmas operatori finanšu līdzekļus, kuri gūti no darījumiem ar bezmaksas emisijas kvotām, var izlietot tikai konkrētiem pasākumiem, t.sk. "3) tā darbībā izmantotās iekārtas vai ēkas energoefektivitātes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piedāvātais apraksts attiecas uz emisijas kvotu izsolīšanas instrumenta finansējuma izlietojumu, tad apraksts ir jāprecizē, vienlaikus ņemot vērā, ka minētā instrumenta finansējuma izlietojums arī ir noteikts likumā "Par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2.4.9.pasākumam, jo uzskatām, ka biomasas koģenerācija kā tehnoloģija nebūtu īpaši atbalstāma, kā arī biomasas kā kurināmā atbalsts būtu pārdomājams kopumā, ņemot vērā Eiropas Savienības kopējos uzstādījumus gan biomasas izmantošanas atbalstam (kaskadēšanas principa ievērošana), gan biomasas izmantošanai - atbilstība ilgtspējas un emisiju ietaupījumu kritērijiem. Tāpat lūgums sniegt skaidrojumu, kāpēc atbalsts būtu attiecināms tieši un tikai biomasas koģenerācijas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kopumā jebkāds atbalsts būtu apskatāms tikai attiecībā uz moderno biodegvielu vai moderno biomasas degvielu, t.sk. biometāna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piedāvātais pasākums noteic atļauju procesa vienkāršanu, lūgums iekļaut skaidrojumu vai aprakstu, kur šobrīd spēkā esošais atļauju process biomasas sadedzināšanas iekārtām vai biodegvielas / biomasas degvielu ražošanas iekārtām būtu uzskatāms par sarežģītu vai laikietilpīgu.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EM, KEM un SM savas kompetences ietvaros veicināt modernās biomasas degvielas un citu atjaunīgo degvielu (moderno biodegvielu un RFNBO) ražošanas projektu attīstību, piedāvājot finansiālu atbalstu un vienkāršojot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 un iekļauts Plānā KEM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2.4.6.1. EM, KEM un SM savas kompetences ietvaros veicināt modernās biomasas degvielas un citu atjaunīgo degvielu (moderno biodegvielu un RFNBO) ražošanas projektu attīstību, piedāvājot finansiālu atbalstu un vienkāršojot atļauju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Plāna struktūrai un saturam, jo tas neatbilst Ministru kabineta 2014.gada 2.decembra noteikumu Nr.737 "Attīstības plānošanas dokumentu izstrādes un ietekmes izvērtēšanas noteikumi" nosacījumiem, t.i. par katru pasākumu nav norādīts nepieciešamais un pieejamais finansējums un tā avoti, nav noteikti termiņi un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stadijā nav iespējams izstrādāt detalizētu finansējuma plānu katram rīcības virzienam un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paredzēto Latvijas ilgtspējīgas enerģijas tehnoloģiju attīstības rīcības virzienu un prioritāro pasākumu īstenošanai tiks vērtētas iespējas tos īstenot ES fondu un tam paredzētā nacionālā līdzfinansējuma ietvaros, pamatā orientējoties uz nākamo fondu plānošanas periodu, kā arī ES horizontālajām programmām un klimata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uzdeva Ekonomikas ministrijai pārveidot iepriekš iesniegto Informatīvo ziņojumu par Plānu, ciktāl iespējams paredzot Plānam noteikto struktūru, taču pilnībā to šajā stadijā nevar izdarīt, par ko tika panākta vienošanās ar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3.1.4.5. punktā noteikts: "Nepietiekama infrastruktūra: Ūdeņraža transportēšanas un uzglabāšanas risinājumi vēl nav attīstīti​. Ūdeņraža tehnoloģiju plaša ieviešana, jo īpaši transporta nozarē, ir atkarīga no degvielas uzpildes infrastruktūras pieejamības. Latvijai līdz 2030. gadam ir jāuzstāda ūdeņraža uzpildes stacijas pie galvenajiem autoceļiem, tomēr, neraugoties uz tuvojošos termiņu, nozares pārstāvji pauž bažas par to, ka trūkst skaidrības un dialoga ar iestādēm par šo staciju skaitu un atrašanās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izstrādātajam informatīvajam ziņojumam "Par Latvijas Alternatīvo degvielu infrastruktūras attīstības stratēģiju", pieņemts Ministru kabinetā 2025. gada 18. martā (prot.Nr.11 42.§) (turpmāk - Stratēģija), līdz 2030.gadam TEN-T tīklā jāuzstāda 3 ūdeņraža uzpildes stacijas (turpmāk - ŪUS) ar kapacitāti 1 tonna/dienā, savukārt Rīgas pilsētas mezglā 1 ūdeņraža stacija, kura šobrīd prasības izpilda tikai daļēji, jo kapacitāte 0,3 tonnas/dienā. Vienlaikus jāatzīmē, ka ūdeņraža uzpildes infrastruktūras attīstību Latvijā kavē tirgus agrīnā attīstības stadija. Nepieciešams nodrošināt gan ražošanu, gan uzpildes infrastruktūru, gan transportlīdzekļus, kas lietos uzpildes infrastruktūru. Pamatojoties uz minēto, lūdzam precizēt plāna projektu ņemot vērā stratēģijā norādīto minimālo ŪUS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ņemot vērā SM iesniegto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3.1.4.5. Nepietiekama infrastruktūra: Ūdeņraža transportēšanas un uzglabāšanas risinājumi vēl nav attīstīti​. Ūdeņraža tehnoloģiju plaša ieviešana, jo īpaši transporta nozarē, ir atkarīga no degvielas uzpildes infrastruktūras pieejamības. Atbilstoši Satiksmes ministrijas izstrādātajam informatīvajam ziņojumam "Par Latvijas Alternatīvo degvielu infrastruktūras attīstības stratēģiju", pieņemts Ministru kabinetā 2025. gada 18. martā (prot.Nr.11 42.§) , līdz 2030.gadam TEN-T tīklā jāuzstāda 3 ūdeņraža uzpildes stacijas  ar kapacitāti 1 tonna/dienā, savukārt Rīgas pilsētas mezglā 1 ūdeņraža stacija, kura šobrīd prasības izpilda tikai daļēji, jo kapacitāte 0,3 tonnas/dienā. Vienlaikus jāatzīmē, ka ūdeņraža uzpildes infrastruktūras attīstību Latvijā kavē tirgus agrīnā attīstības stadija. Nepieciešams nodrošināt gan ražošanu, gan uzpildes infrastruktūru, gan transportlīdzekļus, kas lietos uzpildes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- 05.12.2025.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Plāna projekta uztveramību,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2014. gada 2. decembra noteikumu Nr. 737 "Attīstības plānošanas dokumentu izstrādes un ietekmes izvērtēšanas noteikumi" (turpmāk – MK not. Nr.737) 6. punktam, pēc iespējas ievērot noteikumos noteiktās prasības Plāna saturam un noformējumam;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Plānā iekļauto informāciju par rezultatīvajiem rādītājiem, rīcības virzieniem, pasākumiem u.c. noformēt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punktu un apakšpunktu numerāciju, sakārtot tos loģiskā secībā, vai piešķirt tiem atsevišķas kategorijas. Piemēram, pašlaik punktam 1.4 seko apakšpunkts 1.3.1.1., kam savukārt seko apakšpunkts 1.4.1.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2.6.1.apakšpunktā norādi uz konkrētu mērķu sadaļu, jo Plānā tās ir vairākas;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rezultatīvajiem rādītājiem norādīt bāzes gada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Finansējuma pieejamība: ES fondu, valsts budžeta un privāto investīciju efektīva 2. nodaļā minētajiem pasākumiem, tajā skaitā tehnoloģiju modernizācijai un AER integrācijai.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uzdeva Ekonomikas ministrijai pārveidot iepriekš iesniegto Informatīvo ziņojumu par Plānu, ciktāl iespējams paredzot Plānam noteikto struktūru, taču pilnībā to šajā stadijā nevar izdarīt, tajā skaitā izveidot tabulas ar visu nepieciešamo informāciju, par ko tika panākta vienošanās ar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numerācija ir loģiska - sadaļas tiek numurētas hronoloģiski - attiecīgi 1.2, 1.3, 1.4. u.t.t. Uzskatamības nolūkā pasākumu sadaļā tiek citēti atbilstošie Rīcības virzieni.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nav norādīts citādi - rezultatīvie rādītāji attiecas uz plāna nobeiguma 2035. gadu. Atbilstoši secinājumiem un rīkojuma projektam, EM regulāri kontrolēs ieviešanas progresu.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pārsaukt  specifiskāk 3.nodaļu, ņemot vērā, ka saturs ir vērsts uz ūdeņradi.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grafikus - mērvienības (1.att. - no tūkst.eiro uz milj.eiro), y ass nosaukumi (4.att., 6.att. - precizēt kāda kopējā patēriņā, 2.attēla nosaukumā lūdzu pievienot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Ciparos kā atdalītāju lietot komatu.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Visur lietot koskekventi terminus,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28.lpp.teikumā iekļaut arī nepieciešamību izvērtējumu veikt rūpniecībā ne tikai transporta zaļināšanai (Esošajā rūpniecībā šobrīd rūpnieciskajos procesos nav identificēta nepieciešamība pēc ūdeņraža, bet nepieciešams turpināt izvērtējumu ūdeņraža lomai smagā transporta zaļināšanā.)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izmantot un atsaukties uz jaunāko pieejamo IEA “World Energy Outlook 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7.lpp.pie Plāna mērķa izvērtēt "attīstītu enerģijas patēriņu" pārfrāzēt, piem., "veicinātu/optimizētu vietējās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precizēts - Klimatneitrālo tehnoloģiju izmantošana Latvijas industrijā, zaļā ūdeņraža ražošanai un tā ekosistēmas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 mērvienība ir pareiza.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 nosaukumā pievienots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 Esošajā rūpniecībā šobrīd rūpnieciskajos procesos nav identificēta nepieciešamība pēc ūdeņraža, bet nepieciešams turpināt izvērtējumu ūdeņraža lomai rūpniecības un smagā transporta zaļināšanā.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 - "Plāna mērķis ir identificēt pasākumus, lai stimulētu integrētu politiku tautsaimniecības attīstībai, lai, vienlaikus ar AER veicināšanas politiku, veicinātu un optimizētu vietējās enerģijas patēriņu un tehnoloģiju lokālās komponentes lomas pieaugumu enerģētikas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IEA ziņojumu “World Energy Outlook 2024”[1], zaļā un zemu emisiju ūdeņraža un tā ekosistēmas attīstība saskaras ar ievērojamiem izaicinājumiem, neskatoties uz pieaugošo politisko un investīciju interesi: globālā ūdeņraža ražošana 2023. gadā sasniedza 97 miljonus tonnu, no kuriem mazāk par 1% bija zema emisiju, un prognozes paredz, ka līdz 2030. gadam zema emisiju ūdeņradis varētu sasniegt 49 miljonus tonnu gadā, galvenokārt pateicoties elektrolīzes projektiem ar uzstādīto jaudu līdz 520 GW, taču tikai 4% no tiem ir sasnieguši galīgo investīciju lēmumu, ko ierobežo nepietiekama pieprasījuma radīšana, augstās izmaksas (1,5–6 reizes dārgāks nekā fosilais analogs), regulatīvo neskaidrību un infrastruktūras trūkums. Lēta dabasgāze samazina ekonomisko motivāciju pārejai uz zaļo ūdeņradi, tā īpatsvars kopējā ūdeņraža ražošanā līdz 2030. gadam saglabāsies zems (ap 4%), bet ekosistēma – ieskaitot  produktus kā amonjaku, e-degvielas un izmantošanu rūpniecībā (tostarp zema emisiju tērauda ražošanā), transportā (smagās kravas, kuģošana, aviācija) un enerģētikā – attīstīsies lēni, ar pieprasījumu galvenokārt no rafinēšanas un ķīmiskās nozares, kur tas aizstās fosilo ūdeņradi, taču jaunos sektoros (smagā industrija, garas distances transports) tas veidos mazāk par 1% no kopējā pieprasījuma, neskatoties uz 40% izaugsmi 2022.–2023. gadā; ziņojums uzsver nepieciešamību pēc mērķtiecīgiem pasākumiem, lai paātrinātu pāreju."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https://www.iea.org/reports/world-energy-outlook-2024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1.1.3.2. punktam pievienot " klimata pārmaiņu (ekstrēmu laikapstākļu izpausmju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Atkarība no izejmateriāliem (piemēram, kritiskajiem izejmateriāliem, vai elektroniskām komponentēm) var radīt problēmas, ja globālās piegādes ķēdes tiek traucētas ģeopolitisku, klimata pārmaiņu (ekstrēmu laikapstākļu izpausmju dēļ) vai ekonomisku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KEM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Atkarība no izejmateriāliem (piemēram, kritiskajiem izejmateriāliem, vai elektroniskām komponentēm) var radīt problēmas, ja globālās piegādes ķēdes tiek traucētas ģeopolitisku, klimata pārmaiņu (ekstrēmu laikapstākļu izpausmju dēļ) vai ekonomisku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norādīti dokumenti ar kuriem Plāns saskan, tai skaitā Nacionālais enerģētikas un klimata plāns (NEKP) 2021.-2030. gadam. Lūdzam pievienot atsauci:  2024. gada 12. jūlija Ministru kabineta rīkojums Nr. 573 Aktualizētais Nacionālais enerģētikas un klimata plāns 2021.–2030. gadam: https://likumi.lv/ta/id/353615-aktualizetais-nacionalais-energetikas-un-klimata-plans-20212030gadam.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pievienota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15. lapaspuses 1.3.1.2. apakšpunkta " Lai izstrādātu ražošanas tehnoloģijas un prototipus, palielināt tehnoloģisko kapacitāti un inovācijas, veicinot pētniecību un attīstību", 1.4.6. apakšpunktā vārdu "bioekenomikas".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1.1.2. apakšpunktā "Latvijas tendences" pirmajā rindkopā vārdu "kontaktpunkt".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2024/1735 nosaka, ka vienotais kontaktpunkts ir atbildīgs par atļauju piešķiršanas procesa atvieglošanu un koordinēšanu klimatneitrālo tehnoloģiju projektiem, tostarp stratēģiskiem neto nulles emisiju projektiem (piemēram, informācijas sniegšana par administratīvo procesu, informācijas piekļuves nodrošināšana tiešsaistē, kā arī, lai minētā informācija būtu pieejama centralizētā un viegli piekļūstamā veidā saskaņā ar Regulas (ES) 2024/1735 7.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satura rādītāja numerāciju (2.6. punkts atkārtojās).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struktūru, ievērojot loģisko shēmu “Mērķis → Rīcības virziens → Pasākums”. Vēršam uzmanību, ka 2.4.13.- 2.4.18.pasākumi  ir pakārtoti mērķiem, nevis iepriekš (29.-30.lp.) definētajiem rīcības virzieniem. Papildus norādām, ka pasākumu numerācijā iztrūkst 2.4.15.pasākums.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Strukturējums attiecīgi precizēts gan atbilstoši precizējot pasākumu numerāciju, kas precīzi atbilst rīcības virzieniem, gan novēršot priekšlikumā minētās kļūdas.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ieviest visā dokumentā vienotu terminolģiju tehnoloģijām -  </w:t>
            </w:r>
            <w:r w:rsidR="00000000" w:rsidRPr="00000000" w:rsidDel="00000000">
              <w:rPr>
                <w:rtl w:val="0"/>
              </w:rPr>
              <w:t xml:space="preserve">neto nulles emisiju vai </w:t>
            </w:r>
            <w:r w:rsidR="00000000" w:rsidRPr="00000000" w:rsidDel="00000000">
              <w:rPr>
                <w:rtl w:val="0"/>
              </w:rPr>
              <w:t xml:space="preserve">klimatneitrālās.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 tomēr termini nav pilnībā identiski - neto nulles emisiju ir Regulas 2024/1252 termins, kas attiecināms strikti uz attiecīgajā regulā minēto tehnoloģiju ražošanu, taču klimatneitrālām tehnoloģijām ir palašāks tvērums - piemēram, zaļā ūdeņraža ražošana uzskatāma par klimatneitrālo tehnoloģiju, bet nav neto nulles emisiju tehnoloģija (tāda būtu elektrolīzes iekārtu ražošana).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2.4.1. pasākumā un citur, ja attiecināms, aizstāt "administratīvo" šķēršļu uz "</w:t>
            </w:r>
            <w:r w:rsidR="00000000" w:rsidRPr="00000000" w:rsidDel="00000000">
              <w:rPr>
                <w:rtl w:val="0"/>
              </w:rPr>
              <w:t xml:space="preserve">regulatīvu un neregulatīvu".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EM, izmantojot esošos sadarbības mehānismus ar lielākajām uzņēmēju organizācijām, izstrādāt nepieciešamās nākotnes atbalsta programmas rūpniecības zaļināšanai, NEKP mērķu sasniegšanā rūpniecības sektorā, kā arī regulatīvu un neregulatīvu šķēršļu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KEM piedāvātai redakcijai.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2.4.1.EM, izmantojot esošos sadarbības mehānismus ar lielākajām uzņēmēju organizācijām, izstrādāt nepieciešamās nākotnes atbalsta programmas rūpniecības zaļināšanai, NEKP mērķu sasniegšanā rūpniecības sektorā, kā arī regulatīvu un neregulatīvu šķēršļu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2.3.4.2. un visā dokumentā, kur attiecināms, precizēt uz "</w:t>
            </w:r>
            <w:r w:rsidR="00000000" w:rsidRPr="00000000" w:rsidDel="00000000">
              <w:rPr>
                <w:rtl w:val="0"/>
              </w:rPr>
              <w:t xml:space="preserve">energoefektivitātes </w:t>
            </w:r>
            <w:r w:rsidR="00000000" w:rsidRPr="00000000" w:rsidDel="00000000">
              <w:rPr>
                <w:b w:val="1"/>
                <w:rtl w:val="0"/>
              </w:rPr>
              <w:t xml:space="preserve">uzlabošanas </w:t>
            </w:r>
            <w:r w:rsidR="00000000" w:rsidRPr="00000000" w:rsidDel="00000000">
              <w:rPr>
                <w:rtl w:val="0"/>
              </w:rPr>
              <w:t xml:space="preserve">pasākumi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Izlabots visur, kur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visā dokumentā terminoloģiju - uzņēmumu energoaudits un energopārvaldības sistēma, atbilstoši Energoefektivitātes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lūdz precizēt 2.2.3. mērķa redakciju norādot, ka "rūpnieciskie procesi" SEG emisiju aprēķina aptvērumā pēc būtības neietver elektroenerģijas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Veicināt elektrifikāciju: Līdz 2050. gadam palielināt elektroenerģijas īpatsvaru rūpniecības sektorā par 30% salīdzinājumā ar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KEM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Veicināt elektrifikāciju: Līdz 2050. gadam palielināt elektroenerģijas īpatsvaru rūpniecības sektorā par 30% salīdzinājumā ar 2022.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4.attēla leģendu, kur 2 reizes minēta "Elektroenerģija" (izskatās, ka vairāki attēli 24.lpp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Leģenda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22.10.2025. 18:45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jūnija Regulas (ES) 2024/1735  par pasākumu satvara izveidi Eiropas neto nulles emisiju tehnoloģiju izgatavošanas ekosistēmas stiprināšanai un ar ko groza Regulu (ES) 2018/1724, (turpmāk – Regula (ES) 2024/1735)  vispārīgais mērķis ir uzlabot iekšējā tirgus darbību, izveidojot satvaru, lai nodrošinātu Savienības piekļuvi drošām un ilgtspējīgām neto nulles emisiju tehnoloģiju piegādēm, tostarp palielinot neto nulles emisiju tehnoloģiju izgatavošanas jaudu un to piegādes ķēdes nolūkā aizsargāt to noturību, vienlaikus palīdzot sasniegt Savienības klimata mērķrādītājus un klimatneitralitātes mērķi, kā noteikts Regulā (ES) 2021/1119, lai dekarbonizētu Savienības ekonomiku un sabiedrību, un veicinot kvalitatīvas darbvietas neto nulles emisiju tehnoloģiju jomā, un tādējādi arī uzlabojot Savienības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Regulas (ES) 2024/1735 vispārīgo mērķi, Regulā (ES) 2024/1735 noteikti pasākumi, kuru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ar neto nulles emisiju tehnoloģijām saistīto piegādes traucējumu risku, kas varētu izkropļot konkurenci un sadrumstalot iekšējo tirgu, jo īpaši identificējot un atbalstot neto nulles emisiju tehnoloģiju izgatavošanas jaudas palielināšanu un to piegādes ķēdes;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 Savienības tirgu CO2 uzglabāšanas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publiskā iepirkuma procedūrām, izsolēm un citiem publiskās intervences veidiem veicināt pieprasījumu pēc ilgtspējīgām un noturīgām neto nulles emisiju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akadēmiju atbalstu pilnveidot prasmes, tādējādi saglabājot un radot kvalitatīvas darbvietas;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 inovāciju, izveidojot neto nulles emisiju regulatīvās smilškastes, koordinējot pētniecības un inovācijas darbības ar energotehnoloģiju stratēģiskā plāna vadības grupas starpniecību, kā arī izmantojot pirmskomercializācijas iepirkumu un inovatīvu risinājumu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Savienības spēju pārraudzīt un mazināt piegāžu riskus, kas saistīti ar neto nulles emisiju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ir nepilnīgs un neatbilst Regulas (ES) 2024/1735 vispārīgam mērķim uzlabot iekšējā tirgus darbību, līdz ar to lūdzam atbilstoši precizēt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neskaidrības par Informatīvā ziņojuma tvērumu, tas  precizēts un papildināts ar tekstu - Ekonomikas ministrija sagatavoja Informatīvo ziņojumu “Par atbildības noteikšanu par "Eiropas Parlamenta un Padomes 2024. gada 13. jūnija Regulu (ES) par pasākumu satvara izveidi Eiropas neto nulles emisiju tehnoloģiju izgatavošanas ekosistēmas stiprināšanai, ar ko groza Regulu (ES) 2018/1724" un "Eiropas Parlamenta un Padomes 2024. gada 11. aprīļa Regulu (ES) 2024/1252 ar ko izveido satvaru tam, kā nodrošināt drošu un ilgtspējīgu apgādi ar kritiski svarīgām izejvielām, ar ko groza Regulas (ES) Nr. 168/2013, (ES) 2018/858, (ES) 2018/1724 un (ES) 2019/1020”’. Jautājums izskatīts un lēmums par atbildības sadalījumu pieņemts Valsts sekretāru 23.10.2025. sanāksmē (prot. Nr. 29 1. §).  Šis informatīvais ziņojums apskata papildus Regulas (ES) 2024/1735 ieviešanai nepieciešamos uzdevumus– īpaši, kas saistīti ar klimatneitrālu tehnoloģiju ražošanas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pasākumiem Regulas (ES) 2024/1735 IV prasībām klimatneitrālu tehnoloģiju vienotā tirgus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 iepriekš informatīvajā ziņojumā bija norādīts - Ņemot vērā, ka CCS jomā Klimata un enerģētikas ministrija plāno virzīt atsevišķu informatīvo ziņojumu, no šī plāna izslēgti mērķi, uzdevumi un aktivitātes CCS jomā, izņemot jautājumu par vietējās komponentes iekļaušanu CCS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 tabulas "Iesaistīto pušu izkārtojums" (42.lp.) izkārtojumu, atbilstoši tajā norādīto asociāciju un citu organizāciju un institūciju sasaistei ar attiecīgo ministriju. Piemēram, Rīgas brīvostas pārvaldi, kas pašlaik ir norādīta pie Izglītības un zinātnes ministrijas, lūdzam norādīt pie Satiksmes ministrijas (SM), jo SM funkcijās ietilpst politikas izstrāde ostu pārvaldības un attīstības nozarē, savukārt pie SM pašlaik norādītās Kritiski svarīgu izejmateriālu ražotāju asociācija, biedrība “Ilgtspējas klasteris”, Rīgas Tehniskā Universitāte, Fokker Next Gen un Latvijas Tirdzniecības un rūpniecības kamera ir norādāmas pie ministrijām, kas ir atbildīgas par politikas veidošanu  to darbības jomās (Ekonomikas ministrija un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Izkārtojums tabulā nebija tā domāts, kā saprasts iebildumā. Tomēr piekrītot, ka šādā veidā tabula bija pārprotama, precizēts atsakoties no 2. un 3; tabulas, bet uzskaitījumu iekļaujot plāna tekstā.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“Latvijas ilgtspējīgas enerģijas tehnoloģiju attīstības plāns līdz 2035. gadam” (turpmāk – Plāns) noteikts, ka tas ir izstrādāts kā Ekonomikas ministrijas iniciatīva ar nolūku noteikt nepieciešamos rīcības virzienus un prioritāros pasākumus ilgtspējīgas enerģijas tehnoloģiju izmantošanai un ražošanas attīstībai, esošās Latvijas industrijas dekarbonizācijai, kā arī Latvijas industrijas iespējām izmantot neto nulles emisiju tehnoloģijas produktivitātes un klimata mērķu sasniegšanai, kā arī valsts ekonomiskās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noteiktais Plāna mērķis ir identificēt pasākumus, lai stimulētu integrētu politiku tautsaimniecības attīstībai, lai vienlaikus ar AER veicināšanas politiku attīstītu enerģijas patēriņu un lokālās komponentes lomas pieaugumu enerģētikas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sniegts ieskats par ilgtspējīgas enerģijas tehnoloģiju ražošanas attīstību, rūpniecības sektora zaļināšanu, klimatneitrālo tehnoloģiju izmantošanu Latvijas industrijā un zaļā ūdeņraža ekosistēmas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Plāns nav sagatavots atbilstoši Ministru kabineta 2014. gada 2. decembra noteikumu Nr. 737 "Attīstības plānošanas dokumentu izstrādes un ietekmes izvērtēšanas noteikumi" (turpmāk – MK not. Nr.737) IV nodaļai. Ievērojot minēto, lūdzam Plānā iekļauto informāciju par rezultatīvajiem rādītājiem, rīcības virzieniem, pasākumiem u.c. noformēt tabulas veidā atbilstoši MK not. Nr. 737 2. pielikumam. Lūdzam Plānu papildināt ar informāciju par rezultatīvo rādītāju bāzes gada vērtībām, kā arī norādīt to datu avotu rezultatīvo rādītāju prognozēm – uz kādu datu pamata tie izvirzīti, kas ir to autors.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Plānu precizēt, iekļaujot tajā informāciju atbilstoši Attīstības plānošanas sistēmas likuma 6.pantam un MK not. Nr. 737.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informāciju par rezultatīvo rādītāju prognožu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atbilstoši Valsts Kancelejas iebildumam pārveidots no sākotnējā informatīvā ziņojuma, kā arī daudzi pasākumi šajā stadijā vēl nav pietiekami detalizējami, plāna struktūra daļēji atbilst  Ministru kabineta 2014. gada 2. decembra noteikumu Nr. 737 "Attīstības plānošanas dokumentu izstrādes un ietekmes izvērtēšanas noteikumi" (turpmāk – MK not. Nr.737) IV 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4.sadaļā "Finansējums" norādīts: </w:t>
            </w:r>
            <w:r w:rsidR="00000000" w:rsidRPr="00000000" w:rsidDel="00000000">
              <w:rPr>
                <w:i w:val="1"/>
                <w:rtl w:val="0"/>
              </w:rPr>
              <w:t xml:space="preserve">"Plānā paredzēto Latvijas ilgtspējīgas enerģijas tehnoloģiju attīstības rīcības virzienu un prioritāro pasākumu īstenošanai tiks vērtētas iespējas tos īstenot ES fondu un tam paredzētā nacionālā līdzfinansējuma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plānam pievienotajā MK rīkojuma projekta 3.punktā norādīts, ka "Plānā norādītajām atbildīgajām institūcijām sadarbībā ar līdzatbildīgajām institūcijām nodrošināt plānā paredzēto pasākumu īstenošanu", norādām, ka nav skaidrs, no kādiem avotiem EM paredz šo pasākumu finansēšanu, ņemot vērā, ka šobrīd ne Satiksmes ministrijas budžetā, ne tai pieejamajos ES fondu līdzekļos nav pozīciju, kas atbilstu attīstības plāna 3.4. sadaļā uzskaitītajiem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finansējuma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stadijā nav iespējams izstrādāt detalizētu finansējuma plānu katram rīcības virzienam un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paredzēto Latvijas ilgtspējīgas enerģijas tehnoloģiju attīstības rīcības virzienu un prioritāro pasākumu īstenošanai tiks vērtētas iespējas tos īstenot ES fondu un tam paredzētā nacionālā līdzfinansējuma ietvaros, pamatā orientējoties uz nākamo fondu plānošanas periodu, kā arī ES horizontālajām programmām un klimata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3.1.3. sadaļas 3. tabulu “Latvijas ūdeņraža ielejas vērtības ķēde”, svītrojot Rīgas lidostu no </w:t>
            </w:r>
            <w:r w:rsidR="00000000" w:rsidRPr="00000000" w:rsidDel="00000000">
              <w:rPr>
                <w:i w:val="1"/>
                <w:rtl w:val="0"/>
              </w:rPr>
              <w:t xml:space="preserve">Ignitis</w:t>
            </w:r>
            <w:r w:rsidR="00000000" w:rsidRPr="00000000" w:rsidDel="00000000">
              <w:rPr>
                <w:rtl w:val="0"/>
              </w:rPr>
              <w:t xml:space="preserve"> ūdeņraža infrastruktūras, uzglabāšanas un transportēšanas, ņemot vērā, ka Rīgas lidosta nav apņēmusies līdz 2035. gadam piedalīties Latvijas H2 vērtības ķēdē, nodrošinot ūdeņraža uzglabāšanas un transportēšanas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Rīgas lidosta pārrobežu sadarbības ietvaros veic darbības ūdeņraža infrastruktūras attīstīšanai, bet tas nav sasaistāms ar norādīto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projekta izslēgta 2. un 3. tabula, attiecīgi precizējot plāna tekstu.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dokumenta struktūru un koriģēt apakšsadaļu nosaukumus, veidojot skaidru sasaisti starp mērķiem, rīcības virzieniem un uzdevumiem vai pasākumiem. Piemēram, sadaļā “1.3. Rīcības virzieni” ir definēti 2 mērķi ar tiem pakārtotiem apakšpunktiem, kur nav skaidrs, vai apakšpunkti ir domāti kā rīcības virzieni. Turklāt sadaļā  “1.4. Pasākumi” tiek nosaukti 6 rīcības virzieni, kas nesakrīt ar 1.3.sadaļas apakšpunktos minētajiem. Tāpat arī sadaļā “2.3. Rīcības virzieni” ir definēti 5 rīcības virzieni ar apakšpunktiem (nav skaidrs, ko identificē apakšpunkti – katra rīcības virziena mērķus vai uzdevumus, vai arī tas ir paplašinošais teksts rīcības virziena satura izpratnei), atbilstoši kuriem sadaļā “2.4. Pasākumi” ir sakārtoti pasākumi. Tomēr ir nosaukti arī 3 pasākumi, kas ir ārpus rīcības virzieniem. Sadaļā “3.3.Rīcības virzieni” ir nosaukti 7 rīcības virzieni (ar apkšpunktiem), bet sadaļā “3.4.Pasākumi” visi pasākumi ir sakārtoti 9 blokos, kuri daļēji sakrīt ar iepriekš norādītajiem rīcības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struktūra pārskatīta un sakārtota.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projektā iekļautās iniciatīvas ticami sasniegtu ES regulējumā noteiktās sasniedzamās mērķvērtības un arī šī plāna mērķus ar konkrētiem un monitorējamiem rādītājiem, būtu nepieciešams sadarbībā ar Centrālo statistikas pārvaldi </w:t>
            </w:r>
            <w:r w:rsidR="00000000" w:rsidRPr="00000000" w:rsidDel="00000000">
              <w:rPr>
                <w:b w:val="1"/>
                <w:rtl w:val="0"/>
              </w:rPr>
              <w:t xml:space="preserve">atlasīt tādus rādītājus, kuriem ir nosakāma bāzes vērtība, mērvienības un ir zināma uzraudzības regularitāte. </w:t>
            </w:r>
            <w:r w:rsidR="00000000" w:rsidRPr="00000000" w:rsidDel="00000000">
              <w:rPr>
                <w:rtl w:val="0"/>
              </w:rPr>
              <w:t xml:space="preserve">Piemēram,  1.2.apakšsadaļā minētajam mērķim “Latvijas konkurētspējas stiprināšana zaļo tehnoloģiju tirgū” definētais rezultāts “līdz 2035. gadam pozicionēt Latviju kā specializētu līderi specifisku klimatneitrālo tehnoloģiju iekārtu ražošanā” nav izmērāms, proti nav skaidrs, kāds rādītājs tiks monitorēts, lai konstatētu virzību uz Latvijas pozicionēšanu kā līderi.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ticami prognozētu, vai plānā minētās rādītāju mērķvērtības ir sasniedzamas, ņemot vērā Latvijas ekonomisko situāciju, ir nepieciešami pētījumi/datu analīze par tiem pasākumiem, kuru īstenošana jau šobrīd a) norit sekmīgi; b) ir nepieciešami papildu stimuli labākam sniegumam, un c) ir praktiski iespējami pieejamā finansējuma ietvaros.  Uz datiem balstīta pieeja novērstu maldinošu vīziju izstrādi, kā arī mazinātu publiskā sektora administratīvo slogu dokumentu izstrādē un uzraudzības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kopsavilkumā norādīt, ka šis  plāns ir izstrādāts Regulas (ES) 2024/1735 mērķu un prasību ieviešanai (un līdz ar to, klasificējams saskaņā ar Ministru kabineta 2014.gada 2.decembra noteikumu Nr.737 “Attīstības plānošanas dokumentu izstrādes un ietekmes izvērtēšanas noteikumi” 6.punktā noteikto) vai arī nodrošināt dokumenta atbilstību visām iepriekšminēto MK noteikumu 25.punktā un 2.pielikumā noteiktajām prasībām attiecībā uz plāna saturu un detalizācijas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sagatavoja Informatīvo ziņojumu “Par atbildības noteikšanu par "Eiropas Parlamenta un Padomes 2024. gada 13. jūnija Regulu (ES) par pasākumu satvara izveidi Eiropas neto nulles emisiju tehnoloģiju izgatavošanas ekosistēmas stiprināšanai, ar ko groza Regulu (ES) 2018/1724" un "Eiropas Parlamenta un Padomes 2024. gada 11. aprīļa Regulu (ES) 2024/1252 ar ko izveido satvaru tam, kā nodrošināt drošu un ilgtspējīgu apgādi ar kritiski svarīgām izejvielām, ar ko groza Regulas (ES) Nr. 168/2013, (ES) 2018/858, (ES) 2018/1724 un (ES) 2019/1020”’. Jautājums izskatīts un lēmums par atbildības sadalījumu pieņemts Valsts sekretāru 23.10.2025. sanāksmē (prot. Nr. 29 1.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plāns ir izstrādāts Regulas (ES) 2024/1735 mērķu un prasību tālākai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47.lp. un 50.lp  minēts “S</w:t>
            </w:r>
            <w:r w:rsidR="00000000" w:rsidRPr="00000000" w:rsidDel="00000000">
              <w:rPr>
                <w:i w:val="1"/>
                <w:rtl w:val="0"/>
              </w:rPr>
              <w:t xml:space="preserve">asniegt šī plāna 3.9. sadaļā noteiktos rezultatīvos rādītājus</w:t>
            </w:r>
            <w:r w:rsidR="00000000" w:rsidRPr="00000000" w:rsidDel="00000000">
              <w:rPr>
                <w:rtl w:val="0"/>
              </w:rPr>
              <w:t xml:space="preserve">”, tomēr 3.9.sadaļas dokumentā nav.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kļūda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30 lp. sadaļā “2.6. Rezultatīvie rādītāji” minēts: ”</w:t>
            </w:r>
            <w:r w:rsidR="00000000" w:rsidRPr="00000000" w:rsidDel="00000000">
              <w:rPr>
                <w:i w:val="1"/>
                <w:rtl w:val="0"/>
              </w:rPr>
              <w:t xml:space="preserve">Sasniegt šī ziņojuma mērķu sadaļā noteiktos skaitliskos rādītājus</w:t>
            </w:r>
            <w:r w:rsidR="00000000" w:rsidRPr="00000000" w:rsidDel="00000000">
              <w:rPr>
                <w:rtl w:val="0"/>
              </w:rPr>
              <w:t xml:space="preserve">”. Vēršam uzmanību, ka ziņojumā ir vairākas mērķu sadaļas. Lūdzam precizēt, nosaucot konkrētus, izmērāmus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Sasniegt šī ziņojuma mērķu sadaļā noteiktos skaitliskos rādītājus, atbilstoši NEKP uzstādījumam.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13.lp. minēts: ”</w:t>
            </w:r>
            <w:r w:rsidR="00000000" w:rsidRPr="00000000" w:rsidDel="00000000">
              <w:rPr>
                <w:i w:val="1"/>
                <w:rtl w:val="0"/>
              </w:rPr>
              <w:t xml:space="preserve">Latvijai piedāvātais risinājums paredz izveidot reģionālu CO₂  krātuvi Latvijā</w:t>
            </w:r>
            <w:r w:rsidR="00000000" w:rsidRPr="00000000" w:rsidDel="00000000">
              <w:rPr>
                <w:rtl w:val="0"/>
              </w:rPr>
              <w:t xml:space="preserve">”. Lūdzam sniegt atsauci uz dokumentu, kurā minēts šis piedāvājums Latvijai, vai ari papildināt tekstu, lai ir skaidri saprotams, kas piedāvā, kāda procesa ietvaros piedāvā, cik resursietilpīgs ir piedāvājums.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arī pēc būtības,  ņemot vērā KEM izstrādāto informatīvo riņojumu par CCS.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atbilstoši KEM piedāvātajam risinājumam nozares attīstība būtu jāveic pakāpeniski, sākot ar vienu, uz nacionālām vajadzībām vērstu pilotprojektu.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9.lp. minēts: “</w:t>
            </w:r>
            <w:r w:rsidR="00000000" w:rsidRPr="00000000" w:rsidDel="00000000">
              <w:rPr>
                <w:i w:val="1"/>
                <w:rtl w:val="0"/>
              </w:rPr>
              <w:t xml:space="preserve">Šajā plānā, jo īpaši 1.1. apakšnodaļā identificētie mērķi, uzdevumi un aktivitātes veicina Regulas  (ES) 2024/1735  mērķu un prasību ieviešanu Latvijā.</w:t>
            </w:r>
            <w:r w:rsidR="00000000" w:rsidRPr="00000000" w:rsidDel="00000000">
              <w:rPr>
                <w:rtl w:val="0"/>
              </w:rPr>
              <w:t xml:space="preserve">”  Vēršam uzmanību, ka 1.1. apakšsadaļā “Esošās situācijas raksturojums“   nav norādīti ne uzdevumi, ne aktivitātes.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kļūda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aicina izvērtēt darbības un atbalstu arī pēc pilotprojektu vai "smilškastu" fāzes ieviešot inovatīvās tehnoloģijas. Vēršam uzmanību, ka arī pēc testa stadijas, tehnoloģijas būs tirgū un normatīvajā regulējumā mazāk zināmas/ izplatītas, līdz ar to pastāv iespēja, ka uzsākot pilnvērtīgu darbību esošais regulējums uzliek papildu administratīvo un finansiālo slogu darbības turpināšanai vai liedz darbību pavisam. Līdz ar to ir nepieciešams mehānisms kā tehnoloģijām pēc pilotprojekta beigām pilnvērtīgi veikt darbību esošā regulējuma ietvaros vai efektīvi un ātri veikt normatīvā regulējuma grozījumus, lai netiktu bremzēta uzņēmējdarbība.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Atbalstīt jaunas investīcijas identificētajās jomās, izmantojot stratēģisko projektu statusu, paātrināt administratīvās procedūras, ja nepieciešams, veidojot regulatīvās smilškastes </w:t>
            </w:r>
            <w:r w:rsidR="00000000" w:rsidRPr="00000000" w:rsidDel="00000000">
              <w:rPr>
                <w:u w:val="single"/>
                <w:rtl w:val="0"/>
              </w:rPr>
              <w:t xml:space="preserve">un nodrošinot efektīvu regulējumu pēc smilškastes darbības izbeigšanās.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25-TA-2535</w:t>
    </w:r>
    <w:r>
      <w:br/>
    </w:r>
    <w:r w:rsidR="00000000" w:rsidRPr="00000000" w:rsidDel="00000000">
      <w:rPr>
        <w:rtl w:val="0"/>
      </w:rPr>
      <w:t xml:space="preserve">22.12.2025. 09.44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25-TA-2535</w:t>
    </w:r>
    <w:r>
      <w:br/>
    </w:r>
    <w:r w:rsidR="00000000" w:rsidRPr="00000000" w:rsidDel="00000000">
      <w:rPr>
        <w:rtl w:val="0"/>
      </w:rPr>
      <w:t xml:space="preserve">22.12.2025. 09.44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Izziņa_25-TA-2535.docx</dc:title>
</cp:coreProperties>
</file>

<file path=docProps/custom.xml><?xml version="1.0" encoding="utf-8"?>
<Properties xmlns="http://schemas.openxmlformats.org/officeDocument/2006/custom-properties" xmlns:vt="http://schemas.openxmlformats.org/officeDocument/2006/docPropsVTypes"/>
</file>