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0A0" w:firstRow="1" w:lastRow="0" w:firstColumn="1" w:lastColumn="0" w:noHBand="0" w:noVBand="0"/>
      </w:tblPr>
      <w:tblGrid>
        <w:gridCol w:w="5669"/>
        <w:gridCol w:w="3402"/>
      </w:tblGrid>
      <w:tr w:rsidR="00680E71" w14:paraId="138F1A32" w14:textId="77777777" w:rsidTr="00680E71">
        <w:tc>
          <w:tcPr>
            <w:tcW w:w="3125" w:type="pct"/>
          </w:tcPr>
          <w:p w14:paraId="02602B13" w14:textId="77777777" w:rsidR="00680E71" w:rsidRDefault="00680E71" w:rsidP="00680E71">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3E61180C" w14:textId="77777777" w:rsidR="00680E71" w:rsidRDefault="00680E71" w:rsidP="00680E71">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2DE45B48" w14:textId="77777777" w:rsidR="00680E71" w:rsidRDefault="00680E71" w:rsidP="00680E71">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Nr. 30VD00-11/1741</w:t>
            </w:r>
          </w:p>
          <w:p w14:paraId="2C8E983F" w14:textId="77777777" w:rsidR="00680E71" w:rsidRDefault="00680E71" w:rsidP="00680E71">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Uz 02.08.2021. Nr. -</w:t>
            </w:r>
          </w:p>
        </w:tc>
        <w:tc>
          <w:tcPr>
            <w:tcW w:w="1875" w:type="pct"/>
          </w:tcPr>
          <w:p w14:paraId="7573807A" w14:textId="77777777" w:rsidR="00680E71" w:rsidRDefault="00680E71" w:rsidP="00680E71">
            <w:pPr>
              <w:keepLines/>
              <w:autoSpaceDE w:val="0"/>
              <w:autoSpaceDN w:val="0"/>
              <w:adjustRightInd w:val="0"/>
              <w:spacing w:after="0" w:line="240" w:lineRule="auto"/>
              <w:jc w:val="right"/>
              <w:rPr>
                <w:rFonts w:ascii="Times New Roman" w:hAnsi="Times New Roman" w:cs="Times New Roman"/>
                <w:color w:val="000000"/>
                <w:sz w:val="24"/>
                <w:szCs w:val="24"/>
              </w:rPr>
            </w:pPr>
          </w:p>
          <w:p w14:paraId="6B14AF1F" w14:textId="77777777" w:rsidR="00680E71" w:rsidRDefault="00680E71" w:rsidP="00680E71">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 - 1519</w:t>
            </w:r>
          </w:p>
        </w:tc>
      </w:tr>
    </w:tbl>
    <w:p w14:paraId="73ECB339" w14:textId="77777777" w:rsidR="00680E71" w:rsidRDefault="00680E71" w:rsidP="00680E71">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680E71" w14:paraId="7403260B" w14:textId="77777777" w:rsidTr="00680E71">
        <w:tc>
          <w:tcPr>
            <w:tcW w:w="5000" w:type="pct"/>
          </w:tcPr>
          <w:p w14:paraId="5AA48159" w14:textId="77777777" w:rsidR="00680E71" w:rsidRDefault="00680E71" w:rsidP="00680E71">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grozījumiem Enerģētikas likumā (VSS-307)</w:t>
            </w:r>
          </w:p>
        </w:tc>
      </w:tr>
    </w:tbl>
    <w:p w14:paraId="37D777B9" w14:textId="77777777" w:rsidR="00680E71" w:rsidRDefault="00680E71" w:rsidP="00680E71">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680E71" w14:paraId="0D77A33F" w14:textId="77777777" w:rsidTr="00680E71">
        <w:tc>
          <w:tcPr>
            <w:tcW w:w="5000" w:type="pct"/>
          </w:tcPr>
          <w:p w14:paraId="6018B44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"Sadales tīkls" 2021.gada 2.augustā ar vēstuli Nr. 3.3-8/2021/5804N saņēma atkārtotai elektroniskai saskaņošanai Ekonomikas ministrijas precizēto likumprojektu "Grozījumi Enerģētikas likumā" (VSS-307) (turpmāk – likumprojekts). AS "Sadales tīkls" ir izvērtējis likumprojekta redakciju un sniedz savu atzinumu.</w:t>
            </w:r>
          </w:p>
          <w:p w14:paraId="2EC8A08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61C2E5E8"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r>
              <w:rPr>
                <w:rFonts w:ascii="Times New Roman" w:hAnsi="Times New Roman" w:cs="Times New Roman"/>
                <w:b/>
                <w:bCs/>
                <w:color w:val="000000"/>
                <w:sz w:val="24"/>
                <w:szCs w:val="24"/>
              </w:rPr>
              <w:tab/>
              <w:t xml:space="preserve">Par </w:t>
            </w:r>
            <w:proofErr w:type="spellStart"/>
            <w:r>
              <w:rPr>
                <w:rFonts w:ascii="Times New Roman" w:hAnsi="Times New Roman" w:cs="Times New Roman"/>
                <w:b/>
                <w:bCs/>
                <w:color w:val="000000"/>
                <w:sz w:val="24"/>
                <w:szCs w:val="24"/>
              </w:rPr>
              <w:t>energokopienām</w:t>
            </w:r>
            <w:proofErr w:type="spellEnd"/>
            <w:r>
              <w:rPr>
                <w:rFonts w:ascii="Times New Roman" w:hAnsi="Times New Roman" w:cs="Times New Roman"/>
                <w:b/>
                <w:bCs/>
                <w:color w:val="000000"/>
                <w:sz w:val="24"/>
                <w:szCs w:val="24"/>
              </w:rPr>
              <w:t xml:space="preserve">, atjaunojamās enerģijas kopienām un elektroenerģijas </w:t>
            </w:r>
            <w:proofErr w:type="spellStart"/>
            <w:r>
              <w:rPr>
                <w:rFonts w:ascii="Times New Roman" w:hAnsi="Times New Roman" w:cs="Times New Roman"/>
                <w:b/>
                <w:bCs/>
                <w:color w:val="000000"/>
                <w:sz w:val="24"/>
                <w:szCs w:val="24"/>
              </w:rPr>
              <w:t>energokopienām</w:t>
            </w:r>
            <w:proofErr w:type="spellEnd"/>
          </w:p>
          <w:p w14:paraId="0CFADC16"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AS "Sadales tīkls" ieskatā atsevišķās likumprojektā ietvertajās redakcijās būtu jāprecizē un jāpastiprina kopienas </w:t>
            </w:r>
            <w:proofErr w:type="spellStart"/>
            <w:r>
              <w:rPr>
                <w:rFonts w:ascii="Times New Roman" w:hAnsi="Times New Roman" w:cs="Times New Roman"/>
                <w:color w:val="000000"/>
                <w:sz w:val="24"/>
                <w:szCs w:val="24"/>
              </w:rPr>
              <w:t>pamatbūtība</w:t>
            </w:r>
            <w:proofErr w:type="spellEnd"/>
            <w:r>
              <w:rPr>
                <w:rFonts w:ascii="Times New Roman" w:hAnsi="Times New Roman" w:cs="Times New Roman"/>
                <w:color w:val="000000"/>
                <w:sz w:val="24"/>
                <w:szCs w:val="24"/>
              </w:rPr>
              <w:t xml:space="preserve"> – tas ka kopienu veido gan enerģijas ražotāji, gan enerģijas lietotāji, kas primāri saražoto enerģiju patērē, uzkrāj, koplieto savām (kopienas) lokālajām vajadzībām. Vienlaikus šis nosacījums neierobežotu </w:t>
            </w:r>
            <w:proofErr w:type="spellStart"/>
            <w:r>
              <w:rPr>
                <w:rFonts w:ascii="Times New Roman" w:hAnsi="Times New Roman" w:cs="Times New Roman"/>
                <w:color w:val="000000"/>
                <w:sz w:val="24"/>
                <w:szCs w:val="24"/>
              </w:rPr>
              <w:t>energokopienas</w:t>
            </w:r>
            <w:proofErr w:type="spellEnd"/>
            <w:r>
              <w:rPr>
                <w:rFonts w:ascii="Times New Roman" w:hAnsi="Times New Roman" w:cs="Times New Roman"/>
                <w:color w:val="000000"/>
                <w:sz w:val="24"/>
                <w:szCs w:val="24"/>
              </w:rPr>
              <w:t xml:space="preserve"> iespējas saražotās elektroenerģijas pārpalikumu pārdot, uzglabāt vai izmantot </w:t>
            </w:r>
            <w:proofErr w:type="spellStart"/>
            <w:r>
              <w:rPr>
                <w:rFonts w:ascii="Times New Roman" w:hAnsi="Times New Roman" w:cs="Times New Roman"/>
                <w:color w:val="000000"/>
                <w:sz w:val="24"/>
                <w:szCs w:val="24"/>
              </w:rPr>
              <w:t>energokopienas</w:t>
            </w:r>
            <w:proofErr w:type="spellEnd"/>
            <w:r>
              <w:rPr>
                <w:rFonts w:ascii="Times New Roman" w:hAnsi="Times New Roman" w:cs="Times New Roman"/>
                <w:color w:val="000000"/>
                <w:sz w:val="24"/>
                <w:szCs w:val="24"/>
              </w:rPr>
              <w:t xml:space="preserve"> resursus citu pakalpojumu sniegšanai, tomēr skaidrāk iezīmētu kopienas izveides mērķi un pamatotu tās tehniskos raksturlielumus. Precizējums veidotu precīzāku sasaisti ar Direktīvu 2019/944 un Direktīvu 2018/2001, kas atspoguļo to, ka </w:t>
            </w:r>
            <w:proofErr w:type="spellStart"/>
            <w:r>
              <w:rPr>
                <w:rFonts w:ascii="Times New Roman" w:hAnsi="Times New Roman" w:cs="Times New Roman"/>
                <w:color w:val="000000"/>
                <w:sz w:val="24"/>
                <w:szCs w:val="24"/>
              </w:rPr>
              <w:t>energokopienas</w:t>
            </w:r>
            <w:proofErr w:type="spellEnd"/>
            <w:r>
              <w:rPr>
                <w:rFonts w:ascii="Times New Roman" w:hAnsi="Times New Roman" w:cs="Times New Roman"/>
                <w:color w:val="000000"/>
                <w:sz w:val="24"/>
                <w:szCs w:val="24"/>
              </w:rPr>
              <w:t xml:space="preserve"> galvenais uzdevums ir sniegt vides, ekonomiskus vai sociālus labumus saviem biedriem vai daļu turētājiem vai vietējām teritorijām, kurās tās darbojas, nevis radīt finansiālu peļņu, kā arī veidotu jēgpilnāku </w:t>
            </w:r>
            <w:proofErr w:type="spellStart"/>
            <w:r>
              <w:rPr>
                <w:rFonts w:ascii="Times New Roman" w:hAnsi="Times New Roman" w:cs="Times New Roman"/>
                <w:color w:val="000000"/>
                <w:sz w:val="24"/>
                <w:szCs w:val="24"/>
              </w:rPr>
              <w:t>energokopienu</w:t>
            </w:r>
            <w:proofErr w:type="spellEnd"/>
            <w:r>
              <w:rPr>
                <w:rFonts w:ascii="Times New Roman" w:hAnsi="Times New Roman" w:cs="Times New Roman"/>
                <w:color w:val="000000"/>
                <w:sz w:val="24"/>
                <w:szCs w:val="24"/>
              </w:rPr>
              <w:t xml:space="preserve"> darbības modeli, kas būtu balstīts uz tehniskiem un fizikāliem apsvērumiem (samērīgu ražošanas jaudu attīstība lokāla enerģijas patēriņa nodrošināšanai, enerģijas transporta plūsmu, un tā rezultātā, enerģijas zudumu mazināšana sistēmā, primāro resursu ietaupījums, </w:t>
            </w:r>
            <w:proofErr w:type="spellStart"/>
            <w:r>
              <w:rPr>
                <w:rFonts w:ascii="Times New Roman" w:hAnsi="Times New Roman" w:cs="Times New Roman"/>
                <w:color w:val="000000"/>
                <w:sz w:val="24"/>
                <w:szCs w:val="24"/>
              </w:rPr>
              <w:t>klimatneitralitātes</w:t>
            </w:r>
            <w:proofErr w:type="spellEnd"/>
            <w:r>
              <w:rPr>
                <w:rFonts w:ascii="Times New Roman" w:hAnsi="Times New Roman" w:cs="Times New Roman"/>
                <w:color w:val="000000"/>
                <w:sz w:val="24"/>
                <w:szCs w:val="24"/>
              </w:rPr>
              <w:t xml:space="preserve"> veicināšana). Direktīva 2019/944 skaidri nosaka – "Kopienas enerģijas iniciatīvu galvenā iecere ir nodrošināt savus biedrus vai daļu turētājus ar kāda noteikta veida enerģiju, piemēram, atjaunojamo energoresursu enerģiju, par pieņemamu cenu, nevis pirmām kārtām gūt peļņu kā tradicionālam </w:t>
            </w:r>
            <w:proofErr w:type="spellStart"/>
            <w:r>
              <w:rPr>
                <w:rFonts w:ascii="Times New Roman" w:hAnsi="Times New Roman" w:cs="Times New Roman"/>
                <w:color w:val="000000"/>
                <w:sz w:val="24"/>
                <w:szCs w:val="24"/>
              </w:rPr>
              <w:t>energouzņēmumam</w:t>
            </w:r>
            <w:proofErr w:type="spellEnd"/>
            <w:r>
              <w:rPr>
                <w:rFonts w:ascii="Times New Roman" w:hAnsi="Times New Roman" w:cs="Times New Roman"/>
                <w:color w:val="000000"/>
                <w:sz w:val="24"/>
                <w:szCs w:val="24"/>
              </w:rPr>
              <w:t xml:space="preserve">.". Šobrīd likumprojektā ietvertais </w:t>
            </w:r>
            <w:proofErr w:type="spellStart"/>
            <w:r>
              <w:rPr>
                <w:rFonts w:ascii="Times New Roman" w:hAnsi="Times New Roman" w:cs="Times New Roman"/>
                <w:color w:val="000000"/>
                <w:sz w:val="24"/>
                <w:szCs w:val="24"/>
              </w:rPr>
              <w:t>enrgokopienu</w:t>
            </w:r>
            <w:proofErr w:type="spellEnd"/>
            <w:r>
              <w:rPr>
                <w:rFonts w:ascii="Times New Roman" w:hAnsi="Times New Roman" w:cs="Times New Roman"/>
                <w:color w:val="000000"/>
                <w:sz w:val="24"/>
                <w:szCs w:val="24"/>
              </w:rPr>
              <w:t xml:space="preserve"> regulējums šauri fokusējas tikai uz kopienu juridisko formu un ekonomisko darbības modeli, bet praktiski neatspoguļo to tehnisko pamatjēgu un lomu energosistēmā, kurā tā darbosies. Jau šobrīd, pirms </w:t>
            </w:r>
            <w:proofErr w:type="spellStart"/>
            <w:r>
              <w:rPr>
                <w:rFonts w:ascii="Times New Roman" w:hAnsi="Times New Roman" w:cs="Times New Roman"/>
                <w:color w:val="000000"/>
                <w:sz w:val="24"/>
                <w:szCs w:val="24"/>
              </w:rPr>
              <w:t>energokopienu</w:t>
            </w:r>
            <w:proofErr w:type="spellEnd"/>
            <w:r>
              <w:rPr>
                <w:rFonts w:ascii="Times New Roman" w:hAnsi="Times New Roman" w:cs="Times New Roman"/>
                <w:color w:val="000000"/>
                <w:sz w:val="24"/>
                <w:szCs w:val="24"/>
              </w:rPr>
              <w:t xml:space="preserve"> regulējuma ieviešanas, personām ir iespējas atrast piemērotāko juridisko formu un darbības modeli kā nodarboties ar elektroenerģijas ražošanu, tirdzniecību, energoefektivitātes un citu energopakalpojumu sniegšanu tirgū citām personām, bet nepastāv regulējums par enerģijas ražošanu savām (kopienas biedru) vajadzībām un enerģijas kopīgošanai, kam jābūt galvenajam </w:t>
            </w:r>
            <w:proofErr w:type="spellStart"/>
            <w:r>
              <w:rPr>
                <w:rFonts w:ascii="Times New Roman" w:hAnsi="Times New Roman" w:cs="Times New Roman"/>
                <w:color w:val="000000"/>
                <w:sz w:val="24"/>
                <w:szCs w:val="24"/>
              </w:rPr>
              <w:t>energokopienu</w:t>
            </w:r>
            <w:proofErr w:type="spellEnd"/>
            <w:r>
              <w:rPr>
                <w:rFonts w:ascii="Times New Roman" w:hAnsi="Times New Roman" w:cs="Times New Roman"/>
                <w:color w:val="000000"/>
                <w:sz w:val="24"/>
                <w:szCs w:val="24"/>
              </w:rPr>
              <w:t xml:space="preserve"> regulējuma izveides mērķim. Tātad </w:t>
            </w:r>
            <w:proofErr w:type="spellStart"/>
            <w:r>
              <w:rPr>
                <w:rFonts w:ascii="Times New Roman" w:hAnsi="Times New Roman" w:cs="Times New Roman"/>
                <w:color w:val="000000"/>
                <w:sz w:val="24"/>
                <w:szCs w:val="24"/>
              </w:rPr>
              <w:t>energokopienu</w:t>
            </w:r>
            <w:proofErr w:type="spellEnd"/>
            <w:r>
              <w:rPr>
                <w:rFonts w:ascii="Times New Roman" w:hAnsi="Times New Roman" w:cs="Times New Roman"/>
                <w:color w:val="000000"/>
                <w:sz w:val="24"/>
                <w:szCs w:val="24"/>
              </w:rPr>
              <w:t xml:space="preserve"> regulējumam primāri jābūt fokusētam uz kopienu lokālā enerģijas pašpatēriņa vajadzību nodrošināšanu. </w:t>
            </w:r>
            <w:r>
              <w:rPr>
                <w:rFonts w:ascii="Times New Roman" w:hAnsi="Times New Roman" w:cs="Times New Roman"/>
                <w:color w:val="000000"/>
                <w:sz w:val="24"/>
                <w:szCs w:val="24"/>
                <w:u w:val="single"/>
              </w:rPr>
              <w:t>Kopienu darbība un ekonomisko labumu gūšana tās biedriem no elektroenerģijas tirgus "virtuālo" darbību īstenošanas (tirdzniecība, kopīgošana) ir atbalstāma tiktāl, ciktāl tā nerada negatīvu reālu tehnisko ietekmi uz energosistēmas drošu un efektīvu darbību un energosistēmas uzturēšanas izmaksu palielināšanos</w:t>
            </w:r>
            <w:r>
              <w:rPr>
                <w:rFonts w:ascii="Times New Roman" w:hAnsi="Times New Roman" w:cs="Times New Roman"/>
                <w:color w:val="000000"/>
                <w:sz w:val="24"/>
                <w:szCs w:val="24"/>
              </w:rPr>
              <w:t xml:space="preserve">, piemēram, papildu sistēmas jaudu izbūvi un uzturēšanu enerģijas ražošanas parku darbības nodrošināšanai  elektroenerģijas sadales sistēmā vietās bez atbilstoša patēriņa un kur tas nav vajadzīgs sadales sistēmas pakalpojumu nodrošināšanai elektroenerģijas lietotājiem. Tādejādi arī attiecībā uz elektroenerģijas </w:t>
            </w:r>
            <w:proofErr w:type="spellStart"/>
            <w:r>
              <w:rPr>
                <w:rFonts w:ascii="Times New Roman" w:hAnsi="Times New Roman" w:cs="Times New Roman"/>
                <w:color w:val="000000"/>
                <w:sz w:val="24"/>
                <w:szCs w:val="24"/>
              </w:rPr>
              <w:t>energokopienām</w:t>
            </w:r>
            <w:proofErr w:type="spellEnd"/>
            <w:r>
              <w:rPr>
                <w:rFonts w:ascii="Times New Roman" w:hAnsi="Times New Roman" w:cs="Times New Roman"/>
                <w:color w:val="000000"/>
                <w:sz w:val="24"/>
                <w:szCs w:val="24"/>
              </w:rPr>
              <w:t xml:space="preserve"> ir lietderīgi noteikt kopienas teritoriālu sasaisti, kā tas noteikts attiecībā uz atjaunojamās enerģijas kopienām. Papildus, AS "Sadales tīkls" rosina likumprojekta anotācijā skaidrot Enerģētikas likuma 17.1 pantā </w:t>
            </w:r>
            <w:proofErr w:type="spellStart"/>
            <w:r>
              <w:rPr>
                <w:rFonts w:ascii="Times New Roman" w:hAnsi="Times New Roman" w:cs="Times New Roman"/>
                <w:color w:val="000000"/>
                <w:sz w:val="24"/>
                <w:szCs w:val="24"/>
              </w:rPr>
              <w:t>Energokopienas</w:t>
            </w:r>
            <w:proofErr w:type="spellEnd"/>
            <w:r>
              <w:rPr>
                <w:rFonts w:ascii="Times New Roman" w:hAnsi="Times New Roman" w:cs="Times New Roman"/>
                <w:color w:val="000000"/>
                <w:sz w:val="24"/>
                <w:szCs w:val="24"/>
              </w:rPr>
              <w:t xml:space="preserve"> lietotos jēdzienus "mazie un vidējie komersanti", un pauž savas bažas, ka nav skaidrs kā tas tiks būs kontrolējams. Kopienas reģistrācija BVKB reģistrā būtu īstenojama skaidri norādot visus tās dalībniekus (sistēmas objektus) un nekavējoties veicot izmaiņas BVKB reģistrā pie jebkurām biedru (objektu) izmaiņām, vienlaicīgi paredzot, ka BVKB reģistrs nodrošina informācijas automatizētu apmaiņu ar sistēmas operatoru IT sistēmām.  Ņemot vērā iepriekš minēto, AS "Sadales tīkls" lūdz veikt precizējumus likumprojekta 1. pantā un 12.pantā ietvertajās redakcijās:</w:t>
            </w:r>
          </w:p>
          <w:p w14:paraId="0ED9F390"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5A619E4C"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Likumprojekta 1.pantā</w:t>
            </w:r>
            <w:r>
              <w:rPr>
                <w:rFonts w:ascii="Times New Roman" w:hAnsi="Times New Roman" w:cs="Times New Roman"/>
                <w:color w:val="000000"/>
                <w:sz w:val="24"/>
                <w:szCs w:val="24"/>
              </w:rPr>
              <w:t xml:space="preserve"> precizēt Enerģētikas likuma 1.panta 12 punktu un 92 punktu redakcijas un izteikt tās šādā redakcijā:</w:t>
            </w:r>
          </w:p>
          <w:p w14:paraId="6E02B248"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"1</w:t>
            </w:r>
            <w:r>
              <w:rPr>
                <w:rFonts w:ascii="Times New Roman" w:hAnsi="Times New Roman" w:cs="Times New Roman"/>
                <w:i/>
                <w:iCs/>
                <w:color w:val="000000"/>
                <w:sz w:val="24"/>
                <w:szCs w:val="24"/>
                <w:vertAlign w:val="superscript"/>
              </w:rPr>
              <w:t>2</w:t>
            </w:r>
            <w:r>
              <w:rPr>
                <w:rFonts w:ascii="Times New Roman" w:hAnsi="Times New Roman" w:cs="Times New Roman"/>
                <w:i/>
                <w:iCs/>
                <w:color w:val="000000"/>
                <w:sz w:val="24"/>
                <w:szCs w:val="24"/>
              </w:rPr>
              <w:t xml:space="preserve">) atjaunojamās enerģijas kopiena   –  </w:t>
            </w:r>
            <w:proofErr w:type="spellStart"/>
            <w:r>
              <w:rPr>
                <w:rFonts w:ascii="Times New Roman" w:hAnsi="Times New Roman" w:cs="Times New Roman"/>
                <w:i/>
                <w:iCs/>
                <w:color w:val="000000"/>
                <w:sz w:val="24"/>
                <w:szCs w:val="24"/>
              </w:rPr>
              <w:t>energokopiena</w:t>
            </w:r>
            <w:proofErr w:type="spellEnd"/>
            <w:r>
              <w:rPr>
                <w:rFonts w:ascii="Times New Roman" w:hAnsi="Times New Roman" w:cs="Times New Roman"/>
                <w:i/>
                <w:iCs/>
                <w:color w:val="000000"/>
                <w:sz w:val="24"/>
                <w:szCs w:val="24"/>
              </w:rPr>
              <w:t xml:space="preserve">, kas nodarbojas ar atjaunojamās enerģijas ražošanu </w:t>
            </w:r>
            <w:proofErr w:type="spellStart"/>
            <w:r>
              <w:rPr>
                <w:rFonts w:ascii="Times New Roman" w:hAnsi="Times New Roman" w:cs="Times New Roman"/>
                <w:i/>
                <w:iCs/>
                <w:color w:val="000000"/>
                <w:sz w:val="24"/>
                <w:szCs w:val="24"/>
                <w:u w:val="single"/>
              </w:rPr>
              <w:t>energokopienas</w:t>
            </w:r>
            <w:proofErr w:type="spellEnd"/>
            <w:r>
              <w:rPr>
                <w:rFonts w:ascii="Times New Roman" w:hAnsi="Times New Roman" w:cs="Times New Roman"/>
                <w:i/>
                <w:iCs/>
                <w:color w:val="000000"/>
                <w:sz w:val="24"/>
                <w:szCs w:val="24"/>
                <w:u w:val="single"/>
              </w:rPr>
              <w:t xml:space="preserve"> biedru vajadzībām</w:t>
            </w:r>
            <w:r>
              <w:rPr>
                <w:rFonts w:ascii="Times New Roman" w:hAnsi="Times New Roman" w:cs="Times New Roman"/>
                <w:i/>
                <w:iCs/>
                <w:color w:val="000000"/>
                <w:sz w:val="24"/>
                <w:szCs w:val="24"/>
              </w:rPr>
              <w:t xml:space="preserve"> un kurai pieder, vai arī tā attīsta vai apsaimnieko atjaunojamās enerģijas ražošanas iekārtas, kas teritoriāli saistītas ar atjaunojamās enerģijas kopienu;</w:t>
            </w:r>
          </w:p>
          <w:p w14:paraId="787E6AD7"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24D5AF8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9</w:t>
            </w:r>
            <w:r>
              <w:rPr>
                <w:rFonts w:ascii="Times New Roman" w:hAnsi="Times New Roman" w:cs="Times New Roman"/>
                <w:i/>
                <w:iCs/>
                <w:color w:val="000000"/>
                <w:sz w:val="24"/>
                <w:szCs w:val="24"/>
                <w:vertAlign w:val="superscript"/>
              </w:rPr>
              <w:t>2</w:t>
            </w:r>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energokopiena</w:t>
            </w:r>
            <w:proofErr w:type="spellEnd"/>
            <w:r>
              <w:rPr>
                <w:rFonts w:ascii="Times New Roman" w:hAnsi="Times New Roman" w:cs="Times New Roman"/>
                <w:i/>
                <w:iCs/>
                <w:color w:val="000000"/>
                <w:sz w:val="24"/>
                <w:szCs w:val="24"/>
              </w:rPr>
              <w:t xml:space="preserve"> –  juridiska persona ar atvērtu, demokrātisku un brīvprātīgu dalību:</w:t>
            </w:r>
          </w:p>
          <w:p w14:paraId="34BB4D12"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lastRenderedPageBreak/>
              <w:t>a)</w:t>
            </w:r>
            <w:r>
              <w:rPr>
                <w:rFonts w:ascii="Times New Roman" w:hAnsi="Times New Roman" w:cs="Times New Roman"/>
                <w:i/>
                <w:iCs/>
                <w:color w:val="000000"/>
                <w:sz w:val="24"/>
                <w:szCs w:val="24"/>
              </w:rPr>
              <w:tab/>
              <w:t xml:space="preserve">kuras mērķis </w:t>
            </w:r>
            <w:r>
              <w:rPr>
                <w:rFonts w:ascii="Times New Roman" w:hAnsi="Times New Roman" w:cs="Times New Roman"/>
                <w:i/>
                <w:iCs/>
                <w:color w:val="000000"/>
                <w:sz w:val="24"/>
                <w:szCs w:val="24"/>
                <w:u w:val="single"/>
              </w:rPr>
              <w:t>ir saražot enerģiju tās biedriem nepieciešamajā apjomā, tādējādi radot</w:t>
            </w:r>
            <w:r>
              <w:rPr>
                <w:rFonts w:ascii="Times New Roman" w:hAnsi="Times New Roman" w:cs="Times New Roman"/>
                <w:i/>
                <w:iCs/>
                <w:color w:val="000000"/>
                <w:sz w:val="24"/>
                <w:szCs w:val="24"/>
              </w:rPr>
              <w:t xml:space="preserve"> vides, ekonomiskus vai sociālus labumus saviem biedriem vai daļu turētājiem, vai teritorijām, kurās tās darbojas;</w:t>
            </w:r>
          </w:p>
          <w:p w14:paraId="1088778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b)</w:t>
            </w:r>
            <w:r>
              <w:rPr>
                <w:rFonts w:ascii="Times New Roman" w:hAnsi="Times New Roman" w:cs="Times New Roman"/>
                <w:i/>
                <w:iCs/>
                <w:color w:val="000000"/>
                <w:sz w:val="24"/>
                <w:szCs w:val="24"/>
              </w:rPr>
              <w:tab/>
              <w:t>kuras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w:t>
            </w:r>
          </w:p>
          <w:p w14:paraId="5E5DE3D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u w:val="single"/>
              </w:rPr>
              <w:t>c) kuras biedru vai daļu turētāju energoietaises ir teritoriāli saistītas</w:t>
            </w:r>
            <w:r>
              <w:rPr>
                <w:rFonts w:ascii="Times New Roman" w:hAnsi="Times New Roman" w:cs="Times New Roman"/>
                <w:i/>
                <w:iCs/>
                <w:color w:val="000000"/>
                <w:sz w:val="24"/>
                <w:szCs w:val="24"/>
              </w:rPr>
              <w:t>.".</w:t>
            </w:r>
          </w:p>
          <w:p w14:paraId="52FA5D43"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69D8A8FB"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Likumprojekta 13.pantā</w:t>
            </w:r>
            <w:r>
              <w:rPr>
                <w:rFonts w:ascii="Times New Roman" w:hAnsi="Times New Roman" w:cs="Times New Roman"/>
                <w:color w:val="000000"/>
                <w:sz w:val="24"/>
                <w:szCs w:val="24"/>
              </w:rPr>
              <w:t xml:space="preserve"> precizēt piedāvāto Enerģētikas likuma 17.</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panta (2) un (7) daļas šādā redakcijā:</w:t>
            </w:r>
          </w:p>
          <w:p w14:paraId="37D796A0"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 (2) </w:t>
            </w:r>
            <w:proofErr w:type="spellStart"/>
            <w:r>
              <w:rPr>
                <w:rFonts w:ascii="Times New Roman" w:hAnsi="Times New Roman" w:cs="Times New Roman"/>
                <w:i/>
                <w:iCs/>
                <w:color w:val="000000"/>
                <w:sz w:val="24"/>
                <w:szCs w:val="24"/>
                <w:u w:val="single"/>
              </w:rPr>
              <w:t>Energokopienu</w:t>
            </w:r>
            <w:proofErr w:type="spellEnd"/>
            <w:r>
              <w:rPr>
                <w:rFonts w:ascii="Times New Roman" w:hAnsi="Times New Roman" w:cs="Times New Roman"/>
                <w:i/>
                <w:iCs/>
                <w:color w:val="000000"/>
                <w:sz w:val="24"/>
                <w:szCs w:val="24"/>
                <w:u w:val="single"/>
              </w:rPr>
              <w:t xml:space="preserve"> mērķis ir saražot enerģiju tās biedriem nepieciešamajā apjomā</w:t>
            </w:r>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Energokopienas</w:t>
            </w:r>
            <w:proofErr w:type="spellEnd"/>
            <w:r>
              <w:rPr>
                <w:rFonts w:ascii="Times New Roman" w:hAnsi="Times New Roman" w:cs="Times New Roman"/>
                <w:i/>
                <w:iCs/>
                <w:color w:val="000000"/>
                <w:sz w:val="24"/>
                <w:szCs w:val="24"/>
              </w:rPr>
              <w:t xml:space="preserve"> primārais darbības mērķis nav peļņas gūšana. </w:t>
            </w:r>
          </w:p>
          <w:p w14:paraId="64BA521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5AED0224"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(7)  Ministru kabinets nosaka  kritērijus </w:t>
            </w:r>
            <w:proofErr w:type="spellStart"/>
            <w:r>
              <w:rPr>
                <w:rFonts w:ascii="Times New Roman" w:hAnsi="Times New Roman" w:cs="Times New Roman"/>
                <w:i/>
                <w:iCs/>
                <w:color w:val="000000"/>
                <w:sz w:val="24"/>
                <w:szCs w:val="24"/>
                <w:u w:val="single"/>
              </w:rPr>
              <w:t>energokopienas</w:t>
            </w:r>
            <w:proofErr w:type="spellEnd"/>
            <w:r>
              <w:rPr>
                <w:rFonts w:ascii="Times New Roman" w:hAnsi="Times New Roman" w:cs="Times New Roman"/>
                <w:i/>
                <w:iCs/>
                <w:color w:val="000000"/>
                <w:sz w:val="24"/>
                <w:szCs w:val="24"/>
                <w:u w:val="single"/>
              </w:rPr>
              <w:t xml:space="preserve"> teritoriālajai saistībai</w:t>
            </w:r>
            <w:r>
              <w:rPr>
                <w:rFonts w:ascii="Times New Roman" w:hAnsi="Times New Roman" w:cs="Times New Roman"/>
                <w:i/>
                <w:iCs/>
                <w:color w:val="000000"/>
                <w:sz w:val="24"/>
                <w:szCs w:val="24"/>
              </w:rPr>
              <w:t xml:space="preserve">, kā arī  noteikumus par attiecībām starp </w:t>
            </w:r>
            <w:proofErr w:type="spellStart"/>
            <w:r>
              <w:rPr>
                <w:rFonts w:ascii="Times New Roman" w:hAnsi="Times New Roman" w:cs="Times New Roman"/>
                <w:i/>
                <w:iCs/>
                <w:color w:val="000000"/>
                <w:sz w:val="24"/>
                <w:szCs w:val="24"/>
              </w:rPr>
              <w:t>energokopienas</w:t>
            </w:r>
            <w:proofErr w:type="spellEnd"/>
            <w:r>
              <w:rPr>
                <w:rFonts w:ascii="Times New Roman" w:hAnsi="Times New Roman" w:cs="Times New Roman"/>
                <w:i/>
                <w:iCs/>
                <w:color w:val="000000"/>
                <w:sz w:val="24"/>
                <w:szCs w:val="24"/>
              </w:rPr>
              <w:t xml:space="preserve"> biedriem un daļu turētājiem, tās pārstāvi un citiem  enerģijas lietotājiem un energoapgādes komersantiem, tai skaitā sistēmas operatoru un siltumapgādes sistēmas operatoru. ".</w:t>
            </w:r>
          </w:p>
          <w:p w14:paraId="51781697"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07076DD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Pr>
                <w:rFonts w:ascii="Times New Roman" w:hAnsi="Times New Roman" w:cs="Times New Roman"/>
                <w:b/>
                <w:bCs/>
                <w:color w:val="000000"/>
                <w:sz w:val="24"/>
                <w:szCs w:val="24"/>
              </w:rPr>
              <w:tab/>
              <w:t>Par vienoto kontaktpunktu enerģijas ražošanas iekārtu ieviešanai</w:t>
            </w:r>
          </w:p>
          <w:p w14:paraId="430D4917"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"Sadales tīkls" uztur savu iebildumu par likumprojekta 45.pantā ietverto Enerģētikas likuma 124.panta (3) daļu, saskaņā ar kuru elektroenerģijas sadales sistēmas operatoram jāpilda vienotā kontaktpunkta pienākumi elektroenerģijas ražošanas iekārtu ar jaudu līdz 11,1 </w:t>
            </w:r>
            <w:proofErr w:type="spellStart"/>
            <w:r>
              <w:rPr>
                <w:rFonts w:ascii="Times New Roman" w:hAnsi="Times New Roman" w:cs="Times New Roman"/>
                <w:color w:val="000000"/>
                <w:sz w:val="24"/>
                <w:szCs w:val="24"/>
              </w:rPr>
              <w:t>kW</w:t>
            </w:r>
            <w:proofErr w:type="spellEnd"/>
            <w:r>
              <w:rPr>
                <w:rFonts w:ascii="Times New Roman" w:hAnsi="Times New Roman" w:cs="Times New Roman"/>
                <w:color w:val="000000"/>
                <w:sz w:val="24"/>
                <w:szCs w:val="24"/>
              </w:rPr>
              <w:t xml:space="preserve"> ieviešanai. Kā iepriekš esam jau norādījuši, sadales sistēmas operatoram kā regulētam energoapgādes komersantam nebūtu jāveic funkcijas, ko elektroenerģijas tirgū konkurences apstākļos jau šobrīd nodrošina vairāki elektroenerģijas tirgotāji. Jaunu funkciju izpildes rezultātā operatoram radītās papildu izmaksas caur sistēmas pakalpojumu maksu būs jāsedz visiem sistēmas lietotājiem, ja vien netiek noteikts cits izmaksu atgūšanas princips. Atbilstoši šī brīža redakcijai tikai BVKB drīkstētu noteikt pakalpojuma maksu par vienotā kontaktpunkta izmantošanu, bet sadales sistēmas operatoram tas būtu liegts! </w:t>
            </w:r>
            <w:proofErr w:type="spellStart"/>
            <w:r>
              <w:rPr>
                <w:rFonts w:ascii="Times New Roman" w:hAnsi="Times New Roman" w:cs="Times New Roman"/>
                <w:color w:val="000000"/>
                <w:sz w:val="24"/>
                <w:szCs w:val="24"/>
              </w:rPr>
              <w:t>Mikroģeneratora</w:t>
            </w:r>
            <w:proofErr w:type="spellEnd"/>
            <w:r>
              <w:rPr>
                <w:rFonts w:ascii="Times New Roman" w:hAnsi="Times New Roman" w:cs="Times New Roman"/>
                <w:color w:val="000000"/>
                <w:sz w:val="24"/>
                <w:szCs w:val="24"/>
              </w:rPr>
              <w:t xml:space="preserve"> ierīkošanas procesā būtiskāko administratīvo slogu un neskaidrības rada neskaidrais būvniecības regulējums šādu iekārtu uzstādīšanai – būvnoteikumos šīs iekārtas nav konkrēti klasificētas (piederība kādai konkrētam būvju tipam un būvju grupai), nav konkrēti noteikta būvniecības kārtība, tāpēc būvvaldes interpretē un nosaka prasības pēc saviem ieskatiem. AS "Sadales tīkls" elektroenerģijas sadales sistēmas operators un regulēts energoapgādes komersants nevēlas tik iesaistīts būvniecības jautājumu risināšanā. Lai novērstu vienotā kontaktpunkta lomas izpildes ietekmi uz sistēmas pakalpojuma izmaksām un vienlaikus veicinātu elektroenerģijas tirgus aktivitāti, AS "Sadales tīkls" lūdz papildināt likumprojektu ar nosacījumiem, ka vienotā kontaktpunkta funkciju var īstenot arī sistēmas operatora izvēlēts pakalpojuma sniedzējs (piemēram, elektroenerģijas tirgotājs) un par šāda pakalpojuma saņemšanu tiek noteikta pakalpojuma maksa. Ņemot vērā iepriekš minēto, lūdzam precizēt likumprojekta 39.pantu:</w:t>
            </w:r>
          </w:p>
          <w:p w14:paraId="6FB9C07C"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441A39A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Likumprojekta 45.pantā precizēt piedāvāto Enerģētikas likuma 124.panta (3) daļas un (4) daļas redakcijas un izteikt tās šādā redakcijā:</w:t>
            </w:r>
          </w:p>
          <w:p w14:paraId="3D237997"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"(3) Elektroenerģijas ražošanas iekārtām ar jaudu līdz 11,1 </w:t>
            </w:r>
            <w:proofErr w:type="spellStart"/>
            <w:r>
              <w:rPr>
                <w:rFonts w:ascii="Times New Roman" w:hAnsi="Times New Roman" w:cs="Times New Roman"/>
                <w:i/>
                <w:iCs/>
                <w:color w:val="000000"/>
                <w:sz w:val="24"/>
                <w:szCs w:val="24"/>
              </w:rPr>
              <w:t>kW</w:t>
            </w:r>
            <w:proofErr w:type="spellEnd"/>
            <w:r>
              <w:rPr>
                <w:rFonts w:ascii="Times New Roman" w:hAnsi="Times New Roman" w:cs="Times New Roman"/>
                <w:i/>
                <w:iCs/>
                <w:color w:val="000000"/>
                <w:sz w:val="24"/>
                <w:szCs w:val="24"/>
              </w:rPr>
              <w:t xml:space="preserve"> vienotais kontaktpunkts ir elektroenerģijas sadales sistēmas operators </w:t>
            </w:r>
            <w:r>
              <w:rPr>
                <w:rFonts w:ascii="Times New Roman" w:hAnsi="Times New Roman" w:cs="Times New Roman"/>
                <w:i/>
                <w:iCs/>
                <w:color w:val="000000"/>
                <w:sz w:val="24"/>
                <w:szCs w:val="24"/>
                <w:u w:val="single"/>
              </w:rPr>
              <w:t>vai tā izraudzīts pakalpojuma sniedzējs</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u w:val="single"/>
              </w:rPr>
              <w:t>kā arī ikviens</w:t>
            </w:r>
            <w:r>
              <w:rPr>
                <w:rFonts w:ascii="Times New Roman" w:hAnsi="Times New Roman" w:cs="Times New Roman"/>
                <w:i/>
                <w:iCs/>
                <w:color w:val="000000"/>
                <w:sz w:val="24"/>
                <w:szCs w:val="24"/>
              </w:rPr>
              <w:t xml:space="preserve"> elektroenerģijas tirgotājs, kas piedāvā šādu pakalpojumu.</w:t>
            </w:r>
          </w:p>
          <w:p w14:paraId="14FC643C"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(4) Par šā panta otrajā </w:t>
            </w:r>
            <w:r>
              <w:rPr>
                <w:rFonts w:ascii="Times New Roman" w:hAnsi="Times New Roman" w:cs="Times New Roman"/>
                <w:i/>
                <w:iCs/>
                <w:color w:val="000000"/>
                <w:sz w:val="24"/>
                <w:szCs w:val="24"/>
                <w:u w:val="single"/>
              </w:rPr>
              <w:t>un trešajā</w:t>
            </w:r>
            <w:r>
              <w:rPr>
                <w:rFonts w:ascii="Times New Roman" w:hAnsi="Times New Roman" w:cs="Times New Roman"/>
                <w:i/>
                <w:iCs/>
                <w:color w:val="000000"/>
                <w:sz w:val="24"/>
                <w:szCs w:val="24"/>
              </w:rPr>
              <w:t xml:space="preserve"> daļā minētā vienotā kontaktpunkta izmantošanu var tikt piemērota pakalpojuma maksa.".</w:t>
            </w:r>
          </w:p>
          <w:p w14:paraId="319E0520"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1637605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65788B0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w:t>
            </w:r>
            <w:r>
              <w:rPr>
                <w:rFonts w:ascii="Times New Roman" w:hAnsi="Times New Roman" w:cs="Times New Roman"/>
                <w:b/>
                <w:bCs/>
                <w:color w:val="000000"/>
                <w:sz w:val="24"/>
                <w:szCs w:val="24"/>
              </w:rPr>
              <w:tab/>
              <w:t>Par sistēmas lietotāju elektroietaisēm</w:t>
            </w:r>
          </w:p>
          <w:p w14:paraId="5C7B658F"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Likumprojekta 8.pantā tiek redakcionāli precizēta Enerģētikas likuma 9.panta otrā daļa, tomēr AS "Sadales tīkls" aicina pēc būtības pārskatīt šīs daļas redakciju, attiecinot prasības par tīklu, ierīču un iekārtu tehnisko apkalpi un uzturēšanu ne tikai uz "enerģijas lietotāju" ietaisēm, bet arī uz "enerģijas ražotāju" ietaisēm. Enerģijas ražotāju iekārtu darbībai ir būtiska ietekme uz sistēmas drošu un stabilu darbību, tāpēc ražotājam ir jābūt likumā noteiktam pienākumam uzturēt savas iekārtas atbilstoša stāvoklī. Enerģijas ražotāju un enerģijas lietotāji ir vienā terminā saucami par sistēmas lietotājiem. Ņemot vērā iepriekš minēto, lūdzam precizēt likumprojekta 7.pantu:</w:t>
            </w:r>
          </w:p>
          <w:p w14:paraId="04F4181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234DB900"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Likumprojekta 8.pantā precizēt piedāvāto Enerģētikas likuma 9.panta (2) daļas redakciju un izteikt to šādā redakcijā:</w:t>
            </w:r>
          </w:p>
          <w:p w14:paraId="77BEEBC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"(2) </w:t>
            </w:r>
            <w:r>
              <w:rPr>
                <w:rFonts w:ascii="Times New Roman" w:hAnsi="Times New Roman" w:cs="Times New Roman"/>
                <w:i/>
                <w:iCs/>
                <w:color w:val="000000"/>
                <w:sz w:val="24"/>
                <w:szCs w:val="24"/>
                <w:u w:val="single"/>
              </w:rPr>
              <w:t>Sistēmas lietotājs</w:t>
            </w:r>
            <w:r>
              <w:rPr>
                <w:rFonts w:ascii="Times New Roman" w:hAnsi="Times New Roman" w:cs="Times New Roman"/>
                <w:i/>
                <w:iCs/>
                <w:color w:val="000000"/>
                <w:sz w:val="24"/>
                <w:szCs w:val="24"/>
              </w:rPr>
              <w:t xml:space="preserve"> nodrošina tā īpašumā, valdījumā vai lietojumā esošo tīklu, enerģijas ražošanas, uzglabāšanas un izmantošanas ierīču un iekārtu tehnisko apkalpi un </w:t>
            </w:r>
            <w:r>
              <w:rPr>
                <w:rFonts w:ascii="Times New Roman" w:hAnsi="Times New Roman" w:cs="Times New Roman"/>
                <w:i/>
                <w:iCs/>
                <w:color w:val="000000"/>
                <w:sz w:val="24"/>
                <w:szCs w:val="24"/>
                <w:u w:val="single"/>
              </w:rPr>
              <w:t>uzturēšanu tehniski atbilstošā un drošā stāvoklī</w:t>
            </w:r>
            <w:r>
              <w:rPr>
                <w:rFonts w:ascii="Times New Roman" w:hAnsi="Times New Roman" w:cs="Times New Roman"/>
                <w:i/>
                <w:iCs/>
                <w:color w:val="000000"/>
                <w:sz w:val="24"/>
                <w:szCs w:val="24"/>
              </w:rPr>
              <w:t>.".</w:t>
            </w:r>
          </w:p>
          <w:p w14:paraId="7267DC4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157B5A01"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Pr>
                <w:rFonts w:ascii="Times New Roman" w:hAnsi="Times New Roman" w:cs="Times New Roman"/>
                <w:b/>
                <w:bCs/>
                <w:color w:val="000000"/>
                <w:sz w:val="24"/>
                <w:szCs w:val="24"/>
              </w:rPr>
              <w:tab/>
              <w:t>Par sistēmas operatora tiesībām</w:t>
            </w:r>
          </w:p>
          <w:p w14:paraId="38389EB9"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Likumprojekta 11.pantā tiek veikti precizējumi Enerģētikas likuma 15.pantā. Lai nodrošinātu "zaļā kursa" virzību un neierobežotu sistēmas operatorus īstenot darbības, kas vērstas uz sistēmas efektivitātes, drošuma  paaugstināšanu un sistēmas operatora resursu racionālāku izmantošanu, piemēram, </w:t>
            </w:r>
            <w:proofErr w:type="spellStart"/>
            <w:r>
              <w:rPr>
                <w:rFonts w:ascii="Times New Roman" w:hAnsi="Times New Roman" w:cs="Times New Roman"/>
                <w:color w:val="000000"/>
                <w:sz w:val="24"/>
                <w:szCs w:val="24"/>
              </w:rPr>
              <w:t>mikroģenerācijas</w:t>
            </w:r>
            <w:proofErr w:type="spellEnd"/>
            <w:r>
              <w:rPr>
                <w:rFonts w:ascii="Times New Roman" w:hAnsi="Times New Roman" w:cs="Times New Roman"/>
                <w:color w:val="000000"/>
                <w:sz w:val="24"/>
                <w:szCs w:val="24"/>
              </w:rPr>
              <w:t xml:space="preserve"> iekārtu izmantošanu elektroenerģijas pašpatēriņa segšanai tehnoloģiskajās iekārtās, enerģijas uzkrāšanas ierīču izmantošanu drošuma sistēmas drošuma līmeņa paaugstināšanai tādā apmērā, kamēr šīs iekārtas uzskatāmas par integrālām tīkla sastāvdaļām un neatstāj negatīvu ietekmi uz elektroenerģijas tirgus darbībām, AS "Sadales tīkls" lūdz papildināt Enerģētikas likuma 15.panta  trešo daļu ar papildu teikumu.</w:t>
            </w:r>
          </w:p>
          <w:p w14:paraId="6F2DE82F"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4F315021"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Likumprojekta 11.pantā</w:t>
            </w:r>
            <w:r>
              <w:rPr>
                <w:rFonts w:ascii="Times New Roman" w:hAnsi="Times New Roman" w:cs="Times New Roman"/>
                <w:color w:val="000000"/>
                <w:sz w:val="24"/>
                <w:szCs w:val="24"/>
              </w:rPr>
              <w:t xml:space="preserve"> precizēt piedāvāto Enerģētikas likuma 15.panta (3) daļas redakciju un izteikt to šādā redakcijā:</w:t>
            </w:r>
          </w:p>
          <w:p w14:paraId="31DBE1F9"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"3) Sistēmas operatori nav tiesīgi veikt tādas darbības, kas var traucēt vai apdraudēt to pienākumu izpildi</w:t>
            </w:r>
            <w:r>
              <w:rPr>
                <w:rFonts w:ascii="Times New Roman" w:hAnsi="Times New Roman" w:cs="Times New Roman"/>
                <w:i/>
                <w:iCs/>
                <w:color w:val="000000"/>
                <w:sz w:val="24"/>
                <w:szCs w:val="24"/>
                <w:u w:val="single"/>
              </w:rPr>
              <w:t>. Sistēmas operatori ir tiesīgi veikt tādas darbības, kas nodrošina un ilgtermiņā veicina to pienākumu efektīvu izpildi.</w:t>
            </w:r>
            <w:r>
              <w:rPr>
                <w:rFonts w:ascii="Times New Roman" w:hAnsi="Times New Roman" w:cs="Times New Roman"/>
                <w:i/>
                <w:iCs/>
                <w:color w:val="000000"/>
                <w:sz w:val="24"/>
                <w:szCs w:val="24"/>
              </w:rPr>
              <w:t xml:space="preserve"> ".</w:t>
            </w:r>
          </w:p>
          <w:p w14:paraId="5B78DB1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4679955C"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r>
              <w:rPr>
                <w:rFonts w:ascii="Times New Roman" w:hAnsi="Times New Roman" w:cs="Times New Roman"/>
                <w:b/>
                <w:bCs/>
                <w:color w:val="000000"/>
                <w:sz w:val="24"/>
                <w:szCs w:val="24"/>
              </w:rPr>
              <w:tab/>
              <w:t>Par Enerģētiskās krīzes nosacījumiem</w:t>
            </w:r>
          </w:p>
          <w:p w14:paraId="4163D75E"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"Sadales tīkls" lūdz papildināt likumprojektu ar papildus nosacījumiem Enerģētiskās krīzes jautājumu pārvaldībai, kas ir būtiski, raugoties uz 2025.gadā paredzēto Latvijas energosistēmas darbības režīma maiņu, kas paredz Baltijas elektroenerģijas sistēmu sinhronizāciju ar Kontinentālās Eiropas elektrotīkliem. Lai sistēmas operatori varētu īstenot operatīvās darbības, kas nepieciešamas Enerģētiskās krīzes iestāšanās novēršanai, t.sk. pamatojoties uz Eiropas Savienības regulu nosacījumiem, ir būtiski nacionālajā regulējumā sakārtot jautājumus par sistēmas operatoru atbildību. Lūdzam ņemt vērā jau iepriekš Latvijas elektroenerģētiķu un </w:t>
            </w:r>
            <w:proofErr w:type="spellStart"/>
            <w:r>
              <w:rPr>
                <w:rFonts w:ascii="Times New Roman" w:hAnsi="Times New Roman" w:cs="Times New Roman"/>
                <w:color w:val="000000"/>
                <w:sz w:val="24"/>
                <w:szCs w:val="24"/>
              </w:rPr>
              <w:t>energobūvnieku</w:t>
            </w:r>
            <w:proofErr w:type="spellEnd"/>
            <w:r>
              <w:rPr>
                <w:rFonts w:ascii="Times New Roman" w:hAnsi="Times New Roman" w:cs="Times New Roman"/>
                <w:color w:val="000000"/>
                <w:sz w:val="24"/>
                <w:szCs w:val="24"/>
              </w:rPr>
              <w:t xml:space="preserve"> asociācijas 19.04.2021 ar vēstuli Nr.01-08/43 sniegtos priekšlikumus un papildināt Enerģētikas likuma XI nodaļu par Enerģētiskās krīzes pārvaldību.</w:t>
            </w:r>
          </w:p>
          <w:p w14:paraId="2E4A0F09"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6A2F9699"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Ierosinām likumprojektu papildināt ar jaunu Enerģētikas likuma 59.</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pantu šādā redakcijā:</w:t>
            </w:r>
          </w:p>
          <w:p w14:paraId="3EB14C9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59.</w:t>
            </w:r>
            <w:r>
              <w:rPr>
                <w:rFonts w:ascii="Times New Roman" w:hAnsi="Times New Roman" w:cs="Times New Roman"/>
                <w:i/>
                <w:iCs/>
                <w:color w:val="000000"/>
                <w:sz w:val="24"/>
                <w:szCs w:val="24"/>
                <w:vertAlign w:val="superscript"/>
              </w:rPr>
              <w:t>1</w:t>
            </w:r>
            <w:r>
              <w:rPr>
                <w:rFonts w:ascii="Times New Roman" w:hAnsi="Times New Roman" w:cs="Times New Roman"/>
                <w:i/>
                <w:iCs/>
                <w:color w:val="000000"/>
                <w:sz w:val="24"/>
                <w:szCs w:val="24"/>
              </w:rPr>
              <w:t xml:space="preserve"> pants.</w:t>
            </w:r>
          </w:p>
          <w:p w14:paraId="32D5057E"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u w:val="single"/>
              </w:rPr>
            </w:pPr>
            <w:r>
              <w:rPr>
                <w:rFonts w:ascii="Times New Roman" w:hAnsi="Times New Roman" w:cs="Times New Roman"/>
                <w:i/>
                <w:iCs/>
                <w:color w:val="000000"/>
                <w:sz w:val="24"/>
                <w:szCs w:val="24"/>
                <w:u w:val="single"/>
              </w:rPr>
              <w:t>Energoapgādes komersanti savu normatīvajos aktos noteikto funkciju izpildes ietvaros plāno, savstarpēji koordinē un īsteno darbības, lai pēc iespējas  novērstu enerģētiskās krīzes iestāšanos. Energoapgādes komersantu rīkojumi, kas nepieciešami šo darbību izpildei, sistēmas dalībniekiem ir saistoši.".</w:t>
            </w:r>
          </w:p>
          <w:p w14:paraId="3140802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u w:val="single"/>
              </w:rPr>
            </w:pPr>
          </w:p>
          <w:p w14:paraId="12820A2E"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lastRenderedPageBreak/>
              <w:t>Ierosinām likumprojektu papildināt</w:t>
            </w:r>
            <w:r>
              <w:rPr>
                <w:rFonts w:ascii="Times New Roman" w:hAnsi="Times New Roman" w:cs="Times New Roman"/>
                <w:color w:val="000000"/>
                <w:sz w:val="24"/>
                <w:szCs w:val="24"/>
              </w:rPr>
              <w:t xml:space="preserve"> ar grozījumu Enerģētikas likuma 71.panta (2) daļā, izsakot to šādā redakcijā:</w:t>
            </w:r>
          </w:p>
          <w:p w14:paraId="21CD334C"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"(2) Energoapgādes komersanti nav atbildīgi par zaudējumiem, kas nodarīti </w:t>
            </w:r>
            <w:r>
              <w:rPr>
                <w:rFonts w:ascii="Times New Roman" w:hAnsi="Times New Roman" w:cs="Times New Roman"/>
                <w:i/>
                <w:iCs/>
                <w:color w:val="000000"/>
                <w:sz w:val="24"/>
                <w:szCs w:val="24"/>
                <w:u w:val="single"/>
              </w:rPr>
              <w:t>sistēmas dalībniekiem</w:t>
            </w:r>
            <w:r>
              <w:rPr>
                <w:rFonts w:ascii="Times New Roman" w:hAnsi="Times New Roman" w:cs="Times New Roman"/>
                <w:i/>
                <w:iCs/>
                <w:color w:val="000000"/>
                <w:sz w:val="24"/>
                <w:szCs w:val="24"/>
              </w:rPr>
              <w:t xml:space="preserve"> izsludinātas enerģētiskās krīzes laikā </w:t>
            </w:r>
            <w:r>
              <w:rPr>
                <w:rFonts w:ascii="Times New Roman" w:hAnsi="Times New Roman" w:cs="Times New Roman"/>
                <w:i/>
                <w:iCs/>
                <w:color w:val="000000"/>
                <w:sz w:val="24"/>
                <w:szCs w:val="24"/>
                <w:u w:val="single"/>
              </w:rPr>
              <w:t>vai veicot šā likuma 59.</w:t>
            </w:r>
            <w:r>
              <w:rPr>
                <w:rFonts w:ascii="Times New Roman" w:hAnsi="Times New Roman" w:cs="Times New Roman"/>
                <w:i/>
                <w:iCs/>
                <w:color w:val="000000"/>
                <w:sz w:val="24"/>
                <w:szCs w:val="24"/>
                <w:u w:val="single"/>
                <w:vertAlign w:val="superscript"/>
              </w:rPr>
              <w:t>1</w:t>
            </w:r>
            <w:r>
              <w:rPr>
                <w:rFonts w:ascii="Times New Roman" w:hAnsi="Times New Roman" w:cs="Times New Roman"/>
                <w:i/>
                <w:iCs/>
                <w:color w:val="000000"/>
                <w:sz w:val="24"/>
                <w:szCs w:val="24"/>
                <w:u w:val="single"/>
              </w:rPr>
              <w:t xml:space="preserve"> pantā minētās darbības enerģētiskās krīzes novēršanai.</w:t>
            </w:r>
            <w:r>
              <w:rPr>
                <w:rFonts w:ascii="Times New Roman" w:hAnsi="Times New Roman" w:cs="Times New Roman"/>
                <w:i/>
                <w:iCs/>
                <w:color w:val="000000"/>
                <w:sz w:val="24"/>
                <w:szCs w:val="24"/>
              </w:rPr>
              <w:t>".</w:t>
            </w:r>
          </w:p>
          <w:p w14:paraId="5835A102"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p>
          <w:p w14:paraId="1C6E9E9F"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         Par elektroenerģijas ražotāju un tirgotāju reģistrēšanu</w:t>
            </w:r>
          </w:p>
          <w:p w14:paraId="5AC80BE2"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p>
          <w:p w14:paraId="477CB9F0"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Likumprojekta 6.pantā tiek veikti precizējumi Enerģētikas likuma 7.panta trešajā daļā, nosakot, ka Regulators elektroenerģijas ražotāju vai tirgotāju reģistrā reģistrē Eiropas Savienības dalībvalstī reģistrētu komersantu. Atbilstoši Ministru kabineta 2009.gada 27.oktobra noteikumiem "Noteikumi par regulējamiem sabiedrisko pakalpojumu veidiem", elektroenerģijas apgādē nepieciešams regulēt elektroenerģijas tirdzniecību jebkuriem enerģijas lietotājiem. Atbilstoši plānotajiem grozījumiem Enerģētikas likumā un Elektroenerģijas tirgus likumā, ar elektroenerģijas tirdzniecību drīkstēs nodarboties gan </w:t>
            </w:r>
            <w:proofErr w:type="spellStart"/>
            <w:r>
              <w:rPr>
                <w:rFonts w:ascii="Times New Roman" w:hAnsi="Times New Roman" w:cs="Times New Roman"/>
                <w:color w:val="000000"/>
                <w:sz w:val="24"/>
                <w:szCs w:val="24"/>
              </w:rPr>
              <w:t>energokopienas</w:t>
            </w:r>
            <w:proofErr w:type="spellEnd"/>
            <w:r>
              <w:rPr>
                <w:rFonts w:ascii="Times New Roman" w:hAnsi="Times New Roman" w:cs="Times New Roman"/>
                <w:color w:val="000000"/>
                <w:sz w:val="24"/>
                <w:szCs w:val="24"/>
              </w:rPr>
              <w:t xml:space="preserve">, gan aktīvie lietotāji (t.sk. fiziskas personas), gan jebkurš cits elektroenerģijas ražotājs pamatojoties uz atjaunojamo energoresursu elektroenerģijas pirkuma līgumu. AS "Sadales tīkls" lūdz izvērtēt, vai paredzētais papildinājums neierobežo aktīvā lietotāja tiesības veikt elektroenerģijas tirdzniecību un reģistrācijas procesu. </w:t>
            </w:r>
          </w:p>
          <w:p w14:paraId="16F6080D"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779FA8B8"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43189E6B"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r>
              <w:rPr>
                <w:rFonts w:ascii="Times New Roman" w:hAnsi="Times New Roman" w:cs="Times New Roman"/>
                <w:b/>
                <w:bCs/>
                <w:color w:val="000000"/>
                <w:sz w:val="24"/>
                <w:szCs w:val="24"/>
              </w:rPr>
              <w:tab/>
              <w:t>Par likumā lietotājiem terminiem</w:t>
            </w:r>
          </w:p>
          <w:p w14:paraId="22824737"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Atbilstoši likumprojekta 1.pantam, Enerģētikas likuma 1.panta redakcijā atkārtoti ietverti jauni termini – </w:t>
            </w:r>
            <w:r>
              <w:rPr>
                <w:rFonts w:ascii="Times New Roman" w:hAnsi="Times New Roman" w:cs="Times New Roman"/>
                <w:i/>
                <w:iCs/>
                <w:color w:val="000000"/>
                <w:sz w:val="24"/>
                <w:szCs w:val="24"/>
              </w:rPr>
              <w:t>"atļautie ieņēmumi", "regulatīvais konts", "regulatīvais periods", "tarifu piemērošanas periods"</w:t>
            </w:r>
            <w:r>
              <w:rPr>
                <w:rFonts w:ascii="Times New Roman" w:hAnsi="Times New Roman" w:cs="Times New Roman"/>
                <w:color w:val="000000"/>
                <w:sz w:val="24"/>
                <w:szCs w:val="24"/>
              </w:rPr>
              <w:t xml:space="preserve">, kas saturiski ir paredzēti piemērošanai dabasgāzes nozarē, tomēr praktiski tiek pielietoti arī elektroapgādes jomā, kā rezultātā var rasties neskaidrības. Piemēram, termins "regulatīvais periods" ir skaidrots, kā laika periods, kas nav ilgāks par trīs gadiem, savukārt Sabiedrisko pakalpojumu regulēšanas komisijas padomes 2011.gada 15.decembra lēmumā Nr. 1/32 Elektroenerģijas sadales sistēmas pakalpojumu tarifu aprēķināšanas metodika, termins "regulatīvais periods " skaidrots kā laika periods, kuram nosaka atļautos ieņēmumus un tā ilgums noteikts no diviem līdz pieciem gadiem. Ņemot vērā, ka jēdzieni tiek izmantoti dažādās energoapgādes nozarēs un tiem var būt atšķirīgi nosacījumi, AS "Sadales tīkls" rosina neietvert šos terminus Enerģētikas likumā, vai sniegt vispārīgas definīcijas, kas piemērojamas visās energoapgādes jomās. </w:t>
            </w:r>
          </w:p>
          <w:p w14:paraId="7AF2C25F"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4E17BBF5"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Pr>
                <w:rFonts w:ascii="Times New Roman" w:hAnsi="Times New Roman" w:cs="Times New Roman"/>
                <w:b/>
                <w:bCs/>
                <w:color w:val="000000"/>
                <w:sz w:val="24"/>
                <w:szCs w:val="24"/>
              </w:rPr>
              <w:tab/>
              <w:t>Par pārejas nosacījumiem</w:t>
            </w:r>
          </w:p>
          <w:p w14:paraId="7F92932C"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Pārejas noteikumu 66.punktā noteikts, ka vienotais kontaktpunkts uzsāk darbu 3 mēnešu laikā pēc minēto noteikumu stāšanās spēkā. Pārejas noteikumu 66.punkts būtu precizējams, pirmkārt, sasaistot to ar 124.pantu, nevis 123.pantu, otrkārt, būtu nepieciešamas ilgāks sagatavošanās termiņš vienotā kontaktpunkta lomas izpildei. 3 mēnešu laikā praktiski nav iespējams nodrošināt tā darbību, piemēram, veikt atbilstoša pakalpojuma sniedzēja atlasi vai personāla sagatavošanu funkciju izpildei, ko paredzēs noteikumi.</w:t>
            </w:r>
          </w:p>
          <w:p w14:paraId="3524F1C7"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14:paraId="655C1D42"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Likumprojekta 46.pantā</w:t>
            </w:r>
            <w:r>
              <w:rPr>
                <w:rFonts w:ascii="Times New Roman" w:hAnsi="Times New Roman" w:cs="Times New Roman"/>
                <w:color w:val="000000"/>
                <w:sz w:val="24"/>
                <w:szCs w:val="24"/>
              </w:rPr>
              <w:t xml:space="preserve"> precizēt pārejas noteikumu 66.punkta redakciju un izteikt to šādā redakcijā:</w:t>
            </w:r>
          </w:p>
          <w:p w14:paraId="19DB4F23" w14:textId="77777777" w:rsidR="00680E71" w:rsidRDefault="00680E71" w:rsidP="00680E71">
            <w:pPr>
              <w:keepLines/>
              <w:autoSpaceDE w:val="0"/>
              <w:autoSpaceDN w:val="0"/>
              <w:adjustRightInd w:val="0"/>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"66. Ministru kabinets līdz 2022. gada 1. janvārim izdod šā likuma 124.panta ceturtajā daļā minētos noteikumus. Vienotais kontaktpunkts uzsāk darbu 12 mēnešu laikā pēc minēto noteikumu stāšanās spēkā. ".</w:t>
            </w:r>
          </w:p>
        </w:tc>
      </w:tr>
    </w:tbl>
    <w:p w14:paraId="41BE5DD6" w14:textId="77777777" w:rsidR="00680E71" w:rsidRDefault="00680E71" w:rsidP="00680E71">
      <w:pPr>
        <w:autoSpaceDE w:val="0"/>
        <w:autoSpaceDN w:val="0"/>
        <w:adjustRightInd w:val="0"/>
        <w:spacing w:after="0" w:line="240" w:lineRule="auto"/>
        <w:rPr>
          <w:rFonts w:ascii="Times New Roman" w:hAnsi="Times New Roman" w:cs="Times New Roman"/>
          <w:i/>
          <w:iCs/>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680E71" w14:paraId="105B13CE" w14:textId="77777777" w:rsidTr="00680E71">
        <w:tc>
          <w:tcPr>
            <w:tcW w:w="5000" w:type="pct"/>
          </w:tcPr>
          <w:p w14:paraId="3F22AC31" w14:textId="77777777" w:rsidR="00680E71" w:rsidRDefault="00680E71" w:rsidP="00680E71">
            <w:pPr>
              <w:keepLines/>
              <w:autoSpaceDE w:val="0"/>
              <w:autoSpaceDN w:val="0"/>
              <w:adjustRightInd w:val="0"/>
              <w:spacing w:after="0" w:line="240" w:lineRule="auto"/>
              <w:ind w:left="260" w:right="569"/>
              <w:rPr>
                <w:rFonts w:ascii="Times New Roman" w:hAnsi="Times New Roman" w:cs="Times New Roman"/>
                <w:color w:val="000000"/>
                <w:sz w:val="24"/>
                <w:szCs w:val="24"/>
              </w:rPr>
            </w:pPr>
            <w:r>
              <w:rPr>
                <w:rFonts w:ascii="Times New Roman" w:hAnsi="Times New Roman" w:cs="Times New Roman"/>
                <w:color w:val="000000"/>
                <w:sz w:val="24"/>
                <w:szCs w:val="24"/>
              </w:rPr>
              <w:t>Pielikumā:</w:t>
            </w:r>
          </w:p>
          <w:p w14:paraId="30349849" w14:textId="77777777" w:rsidR="00680E71" w:rsidRDefault="00680E71" w:rsidP="00680E71">
            <w:pPr>
              <w:keepLines/>
              <w:autoSpaceDE w:val="0"/>
              <w:autoSpaceDN w:val="0"/>
              <w:adjustRightInd w:val="0"/>
              <w:spacing w:after="0" w:line="240" w:lineRule="auto"/>
              <w:ind w:left="260" w:right="569"/>
              <w:rPr>
                <w:rFonts w:ascii="Times New Roman" w:hAnsi="Times New Roman" w:cs="Times New Roman"/>
                <w:color w:val="000000"/>
                <w:sz w:val="24"/>
                <w:szCs w:val="24"/>
              </w:rPr>
            </w:pPr>
            <w:r>
              <w:rPr>
                <w:rFonts w:ascii="Times New Roman" w:hAnsi="Times New Roman" w:cs="Times New Roman"/>
                <w:color w:val="000000"/>
                <w:sz w:val="24"/>
                <w:szCs w:val="24"/>
              </w:rPr>
              <w:t>AS "Sadales tīkls" atzinums (tabulas formātā) uz 11 lpp.</w:t>
            </w:r>
          </w:p>
          <w:p w14:paraId="6CC3031B" w14:textId="77777777" w:rsidR="00680E71" w:rsidRDefault="00680E71" w:rsidP="00680E71">
            <w:pPr>
              <w:keepLines/>
              <w:autoSpaceDE w:val="0"/>
              <w:autoSpaceDN w:val="0"/>
              <w:adjustRightInd w:val="0"/>
              <w:spacing w:after="0" w:line="240" w:lineRule="auto"/>
              <w:ind w:left="260" w:right="569"/>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bl>
    <w:p w14:paraId="11137605" w14:textId="77777777" w:rsidR="00680E71" w:rsidRDefault="00680E71" w:rsidP="00680E71">
      <w:pPr>
        <w:autoSpaceDE w:val="0"/>
        <w:autoSpaceDN w:val="0"/>
        <w:adjustRightInd w:val="0"/>
        <w:spacing w:after="0" w:line="240" w:lineRule="auto"/>
        <w:rPr>
          <w:rFonts w:ascii="Times New Roman" w:hAnsi="Times New Roman" w:cs="Times New Roman"/>
          <w:color w:val="000000"/>
          <w:sz w:val="20"/>
          <w:szCs w:val="20"/>
        </w:rPr>
      </w:pPr>
    </w:p>
    <w:p w14:paraId="32A3496D" w14:textId="77777777" w:rsidR="00680E71" w:rsidRDefault="00680E71" w:rsidP="00680E71">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lastRenderedPageBreak/>
        <w:t>Šis dokuments ir parakstīts ar drošu elektronisko parakstu un satur laika zīmogu.</w:t>
      </w:r>
    </w:p>
    <w:p w14:paraId="3D44A97F" w14:textId="77777777" w:rsidR="00680E71" w:rsidRDefault="00680E71" w:rsidP="00680E71">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680E71" w14:paraId="4849DA43" w14:textId="77777777" w:rsidTr="00680E71">
        <w:tc>
          <w:tcPr>
            <w:tcW w:w="2418" w:type="pct"/>
          </w:tcPr>
          <w:p w14:paraId="0E27513F" w14:textId="77777777" w:rsidR="00680E71" w:rsidRDefault="00680E71" w:rsidP="00680E71">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Tehniskais direktors</w:t>
            </w:r>
            <w:r>
              <w:rPr>
                <w:rFonts w:ascii="Times New Roman" w:hAnsi="Times New Roman" w:cs="Times New Roman"/>
                <w:color w:val="000000"/>
                <w:sz w:val="24"/>
                <w:szCs w:val="24"/>
              </w:rPr>
              <w:br/>
              <w:t>Klientu direktore</w:t>
            </w:r>
          </w:p>
        </w:tc>
        <w:tc>
          <w:tcPr>
            <w:tcW w:w="152" w:type="pct"/>
          </w:tcPr>
          <w:p w14:paraId="156484C7" w14:textId="77777777" w:rsidR="00680E71" w:rsidRDefault="00680E71" w:rsidP="00680E71">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4C46842F" w14:textId="77777777" w:rsidR="00680E71" w:rsidRDefault="00680E71" w:rsidP="00680E71">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Raimonds </w:t>
            </w:r>
            <w:proofErr w:type="spellStart"/>
            <w:r>
              <w:rPr>
                <w:rFonts w:ascii="Times New Roman" w:hAnsi="Times New Roman" w:cs="Times New Roman"/>
                <w:color w:val="000000"/>
                <w:sz w:val="24"/>
                <w:szCs w:val="24"/>
              </w:rPr>
              <w:t>Skrebs</w:t>
            </w:r>
            <w:proofErr w:type="spellEnd"/>
            <w:r>
              <w:rPr>
                <w:rFonts w:ascii="Times New Roman" w:hAnsi="Times New Roman" w:cs="Times New Roman"/>
                <w:color w:val="000000"/>
                <w:sz w:val="24"/>
                <w:szCs w:val="24"/>
              </w:rPr>
              <w:br/>
              <w:t>Baiba Priedīte</w:t>
            </w:r>
          </w:p>
        </w:tc>
      </w:tr>
    </w:tbl>
    <w:p w14:paraId="5447185A" w14:textId="77777777" w:rsidR="00680E71" w:rsidRDefault="00680E71" w:rsidP="00680E71">
      <w:pPr>
        <w:autoSpaceDE w:val="0"/>
        <w:autoSpaceDN w:val="0"/>
        <w:adjustRightInd w:val="0"/>
        <w:spacing w:after="0" w:line="240" w:lineRule="auto"/>
        <w:rPr>
          <w:rFonts w:ascii="Times New Roman" w:hAnsi="Times New Roman" w:cs="Times New Roman"/>
          <w:color w:val="000000"/>
          <w:sz w:val="24"/>
          <w:szCs w:val="24"/>
        </w:rPr>
      </w:pPr>
    </w:p>
    <w:p w14:paraId="467E10A2" w14:textId="77777777" w:rsidR="00680E71" w:rsidRDefault="00680E71" w:rsidP="00680E71">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680E71" w14:paraId="5473B061" w14:textId="77777777" w:rsidTr="00680E71">
        <w:tc>
          <w:tcPr>
            <w:tcW w:w="5000" w:type="pct"/>
          </w:tcPr>
          <w:p w14:paraId="6D50EBD1" w14:textId="77777777" w:rsidR="00680E71" w:rsidRDefault="00680E71" w:rsidP="00680E71">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Agris </w:t>
            </w:r>
            <w:proofErr w:type="spellStart"/>
            <w:r>
              <w:rPr>
                <w:rFonts w:ascii="Times New Roman" w:hAnsi="Times New Roman" w:cs="Times New Roman"/>
                <w:color w:val="000000"/>
                <w:sz w:val="20"/>
                <w:szCs w:val="20"/>
              </w:rPr>
              <w:t>Kurms</w:t>
            </w:r>
            <w:proofErr w:type="spellEnd"/>
            <w:r>
              <w:rPr>
                <w:rFonts w:ascii="Times New Roman" w:hAnsi="Times New Roman" w:cs="Times New Roman"/>
                <w:color w:val="000000"/>
                <w:sz w:val="20"/>
                <w:szCs w:val="20"/>
              </w:rPr>
              <w:t xml:space="preserve"> 25482243</w:t>
            </w:r>
          </w:p>
        </w:tc>
      </w:tr>
    </w:tbl>
    <w:p w14:paraId="75425206" w14:textId="77777777" w:rsidR="005766AC" w:rsidRPr="00E77323" w:rsidRDefault="005766AC" w:rsidP="00680E71">
      <w:pPr>
        <w:rPr>
          <w:rFonts w:ascii="Times New Roman" w:hAnsi="Times New Roman" w:cs="Times New Roman"/>
          <w:sz w:val="24"/>
          <w:szCs w:val="24"/>
        </w:rPr>
      </w:pPr>
    </w:p>
    <w:sectPr w:rsidR="005766AC" w:rsidRPr="00E77323"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97661" w14:textId="77777777" w:rsidR="002B2AE3" w:rsidRDefault="002B2AE3" w:rsidP="00117405">
      <w:pPr>
        <w:spacing w:after="0" w:line="240" w:lineRule="auto"/>
      </w:pPr>
      <w:r>
        <w:separator/>
      </w:r>
    </w:p>
  </w:endnote>
  <w:endnote w:type="continuationSeparator" w:id="0">
    <w:p w14:paraId="1637730F" w14:textId="77777777" w:rsidR="002B2AE3" w:rsidRDefault="002B2AE3"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C0CE2" w14:textId="77777777" w:rsidR="00680E71" w:rsidRDefault="00680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E53A3" w14:textId="77777777" w:rsidR="00680E71" w:rsidRDefault="00680E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E2B5C" w14:textId="77777777" w:rsidR="00680E71" w:rsidRDefault="00680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0FD20" w14:textId="77777777" w:rsidR="002B2AE3" w:rsidRDefault="002B2AE3" w:rsidP="00117405">
      <w:pPr>
        <w:spacing w:after="0" w:line="240" w:lineRule="auto"/>
      </w:pPr>
      <w:r>
        <w:separator/>
      </w:r>
    </w:p>
  </w:footnote>
  <w:footnote w:type="continuationSeparator" w:id="0">
    <w:p w14:paraId="353A5902" w14:textId="77777777" w:rsidR="002B2AE3" w:rsidRDefault="002B2AE3"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D1A02" w14:textId="77777777" w:rsidR="00680E71" w:rsidRDefault="00680E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F0CC5" w14:textId="77777777" w:rsidR="00680E71" w:rsidRDefault="00680E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5D4E868E" w14:textId="77777777" w:rsidTr="007F566F">
      <w:trPr>
        <w:cantSplit/>
        <w:trHeight w:val="3515"/>
        <w:jc w:val="center"/>
      </w:trPr>
      <w:tc>
        <w:tcPr>
          <w:tcW w:w="9061" w:type="dxa"/>
        </w:tcPr>
        <w:p w14:paraId="0F9835A4" w14:textId="77777777" w:rsidR="007F566F" w:rsidRPr="007F566F" w:rsidRDefault="007F566F">
          <w:pPr>
            <w:pStyle w:val="Header"/>
            <w:rPr>
              <w:rFonts w:ascii="Times New Roman" w:hAnsi="Times New Roman" w:cs="Times New Roman"/>
              <w:b/>
              <w:sz w:val="24"/>
              <w:szCs w:val="24"/>
            </w:rPr>
          </w:pPr>
        </w:p>
      </w:tc>
    </w:tr>
  </w:tbl>
  <w:p w14:paraId="288CD559" w14:textId="7B8260D4" w:rsidR="00526744" w:rsidRDefault="00526744">
    <w:pPr>
      <w:pStyle w:val="Header"/>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3A5E30C0" wp14:editId="4A80F7D6">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14:paraId="53C9A152" w14:textId="77777777" w:rsidR="00680E71" w:rsidRPr="00680E71" w:rsidRDefault="00680E71">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71"/>
    <w:rsid w:val="00046C5E"/>
    <w:rsid w:val="00117405"/>
    <w:rsid w:val="001D1AD2"/>
    <w:rsid w:val="002302EC"/>
    <w:rsid w:val="002B2AE3"/>
    <w:rsid w:val="003E571F"/>
    <w:rsid w:val="003F7941"/>
    <w:rsid w:val="00454313"/>
    <w:rsid w:val="00476996"/>
    <w:rsid w:val="00526744"/>
    <w:rsid w:val="00561709"/>
    <w:rsid w:val="005766AC"/>
    <w:rsid w:val="006232BF"/>
    <w:rsid w:val="00627FAE"/>
    <w:rsid w:val="006512F4"/>
    <w:rsid w:val="00680E71"/>
    <w:rsid w:val="006D2C65"/>
    <w:rsid w:val="00707C55"/>
    <w:rsid w:val="00717B9A"/>
    <w:rsid w:val="007F566F"/>
    <w:rsid w:val="0083724C"/>
    <w:rsid w:val="008B458C"/>
    <w:rsid w:val="00974D29"/>
    <w:rsid w:val="009B414B"/>
    <w:rsid w:val="009C5EBC"/>
    <w:rsid w:val="00A32671"/>
    <w:rsid w:val="00B95B3B"/>
    <w:rsid w:val="00BC6569"/>
    <w:rsid w:val="00BF2CBA"/>
    <w:rsid w:val="00D12EA2"/>
    <w:rsid w:val="00D469BC"/>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42618"/>
  <w15:docId w15:val="{3A5C8E04-7F46-4186-98FA-3BFFE37D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tucere\AppData\Local\Temp\ST_veidlapa_WORD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ST_veidlapa_WORD_2021.dotx</Template>
  <TotalTime>0</TotalTime>
  <Pages>6</Pages>
  <Words>9845</Words>
  <Characters>5613</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Stucere</dc:creator>
  <cp:lastModifiedBy>Inese Karpoviča</cp:lastModifiedBy>
  <cp:revision>2</cp:revision>
  <dcterms:created xsi:type="dcterms:W3CDTF">2021-12-03T11:47:00Z</dcterms:created>
  <dcterms:modified xsi:type="dcterms:W3CDTF">2021-12-03T11:47:00Z</dcterms:modified>
</cp:coreProperties>
</file>