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25-TA-2059: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Fiskālās disciplīnas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norādīti Fiskālās disciplīnas likuma panti, kuros pārņemtas </w:t>
            </w:r>
            <w:r w:rsidR="00000000" w:rsidRPr="00000000" w:rsidDel="00000000">
              <w:rPr>
                <w:i w:val="1"/>
                <w:rtl w:val="0"/>
              </w:rPr>
              <w:t xml:space="preserve">Padomes 2024. gada 29. aprīļa Direktīvas (ES) 2024/1265, ar ko groza Direktīvu 2011/85/ES par prasībām dalībvalstu budžeta struktūrām</w:t>
            </w:r>
            <w:r w:rsidR="00000000" w:rsidRPr="00000000" w:rsidDel="00000000">
              <w:rPr>
                <w:rtl w:val="0"/>
              </w:rPr>
              <w:t xml:space="preserve"> (turpmāk - Direktīva 2024/1265) prasības, nevis tiesību akta projekta vienības. Lai varētu pārliecināties par korektu Direktīvas 2024/1265 pārņemšanu likumprojektā, lūdzam precizēt anotāciju, norādot likumprojekta vienības, kurās pārņemtas Direktīvas 2024/1265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sadaļā Cita informācija ir sniegta informācija, ka tabulas B ailē "</w:t>
            </w:r>
            <w:r w:rsidR="00000000" w:rsidRPr="00000000" w:rsidDel="00000000">
              <w:rPr>
                <w:i w:val="1"/>
                <w:rtl w:val="0"/>
              </w:rPr>
              <w:t xml:space="preserve">Projekta vienība, kas pārņem vai ievieš A minēto"</w:t>
            </w:r>
            <w:r w:rsidR="00000000" w:rsidRPr="00000000" w:rsidDel="00000000">
              <w:rPr>
                <w:rtl w:val="0"/>
              </w:rPr>
              <w:t xml:space="preserve"> atbilstība norādīta par FDL pantiem ar likumprojektā ietvertajiem grozījumiem, jo Padomes 2024. gada 29. aprīļa Direktīvas (ES) 2024/1265, ar ko groza Direktīvu 2011/85/ES par prasībām dalībvalstu budžeta struktūrām prasības jau bija pārņemtas spēkā esošajā FDL redakcijā, piemēram, Padomes 2024. gada 29. aprīļa Direktīvas (ES) 2024/1265, ar ko groza Direktīvu 2011/85/ES par prasībām dalībvalstu budžeta struktūrām prasības 1. panta ceturtās daļas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ietvertas atsauces uz vairākām regulām (piemēram, skat. likumprojekta 5. pantu, kurā ietverta atsauce uz </w:t>
            </w:r>
            <w:r w:rsidR="00000000" w:rsidRPr="00000000" w:rsidDel="00000000">
              <w:rPr>
                <w:i w:val="1"/>
                <w:rtl w:val="0"/>
              </w:rPr>
              <w:t xml:space="preserve">Eiropas Parlamenta un Padomes 2013. gada 21. maija regulas (ES) Nr. 549/2013 par Eiropas nacionālo un reģionālo kontu sistēmu Eiropas Savienībā A pielikumu</w:t>
            </w:r>
            <w:r w:rsidR="00000000" w:rsidRPr="00000000" w:rsidDel="00000000">
              <w:rPr>
                <w:rtl w:val="0"/>
              </w:rPr>
              <w:t xml:space="preserve"> vai likumprojekta 14. pantu, kurā norādīts uz </w:t>
            </w:r>
            <w:r w:rsidR="00000000" w:rsidRPr="00000000" w:rsidDel="00000000">
              <w:rPr>
                <w:i w:val="1"/>
                <w:rtl w:val="0"/>
              </w:rPr>
              <w:t xml:space="preserve">Eiropas Parlamenta un Padomes 2024. gada 29. aprīļa regulas (ES) 2024/1263 par ekonomikas politikas efektīvu koordināciju un budžeta daudzpusēju uzraudzību un ar ko atceļ Padomes regulu (EK) Nr. 1466/97,</w:t>
            </w:r>
            <w:r w:rsidR="00000000" w:rsidRPr="00000000" w:rsidDel="00000000">
              <w:rPr>
                <w:rtl w:val="0"/>
              </w:rPr>
              <w:t xml:space="preserve"> 25. un 26. pantu). Ievērojot minēto, lūdzam aizpildīt anotācijas 5.4. sadaļas 1. tabulu par visām ar likumprojektu ieviestajām regulām. Skaidrojam, ka, lai gan regulas saskaņā ar Līguma par Eiropas Savienības darbību 288. panta otro daļu ir vispārpiemērojamas, tās uzliek saistības kopumā un ir tieši piemērojamas visās dalībvalstīs, to prasību ievērošana un nacionālo tiesību aktu sasaiste ir jāatspoguļo anotācijas 5.4. sadaļas 1. tabulā. Tas ir īpaši svarīgi, ja tiesību aktā ir ietvertas tiešas atsauces uz regulas normām. Minētās tabulas mērķis ir skaidri parādīt, kā nacionālais tiesību akts atbilst attiecīgajam Eiropas Savienības tiesību aktam un nodrošina tā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 un 5.4. sadaļas 1.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10.pants. Bilances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valdības budžeta strukturālo bilanci valsts budžeta likumprojektā katram perioda gadam nedrīkst noteikt mazāku par -1,5 procentiem no attiecīgā gada iekšzemes kopprodukta (turpmāk — minimālā plānojamā vispārējās valdības budžeta strukturālā bilance). 0,5 procenti no iekšzemes kopprodukta tiek attiecināti uz Aizsardzības un iekšējās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bezdarbnieku un darba meklētāju interešu aizstāvības biedrība"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strukturālās bilances mērķa noteikšana ne mazāk kā 0 procentu apmērā nodrošina, ka vispārējās valdības finanšu politika netiek balstīta uz pastāvīgu deficītu un valsts parāda palielināšanu. Šāda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 Satversmes 66. pantā nostiprinātajam budžeta likuma kārtības principam, kas paredz valdības pienākumu sabalansēt valsts izdevumus ar pieejamajiem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 fiskālās ilgtspējas principu, kā noteikts Fiskālās disciplīnas likuma mērķa normās, nodrošinot, ka nākamajām paaudzēm netiek pārlikta nesamērīga parāda nasta;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Samazina valsts finansiālās atkarības riskus no ārējiem aizņēmumiem un kapitāla tirgiem, kas var ierobežot valsts suverenitāti un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 starptautiskajai praksei ilgtspējīgu finanšu vadībā, kur pozitīva vai vismaz neitrāla strukturālā bilance tiek uzskatīta par priekšnoteikumu stabilai makroekonomiskai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Fiskālās disciplīnas likuma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Bilances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Vispārējās valdības budžeta strukturālo bilanci valsts budžeta likumprojektā katram perioda gadam nosaka ne mazāku kā 0 procentus no attiecīgā gada iekšzemes kopprodukta (turpmāk — minimālā plānojamā vispārējās valdības budžeta strukturālā bilance).”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Eiropas Parlamenta un Padomes 2024. gada 29. aprīļa regulas (ES) 2024/1263 par ekonomikas politikas efektīvu koordināciju un budžeta daudzpusēju uzraudzību un ar ko atceļ Padomes regulu (EK) Nr. 1466/97 25. un 26. pantos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43. punktu likumprojekta tekstā var lietot vārdkopu saīsinājumus, ja tas uzlabo likumprojekta teksta uztveramību un skaidrību. Likumprojektā vairakkārt ietvertas atsauces uz Eiropas Savienības regulām, rakstot pilnu to nosaukumu, piemēram, </w:t>
            </w:r>
            <w:r w:rsidR="00000000" w:rsidRPr="00000000" w:rsidDel="00000000">
              <w:rPr>
                <w:i w:val="1"/>
                <w:rtl w:val="0"/>
              </w:rPr>
              <w:t xml:space="preserve">Eiropas Parlamenta un Padomes 2024. gada 29. aprīļa Regulu (ES) 2024/1263 par ekonomikas politikas efektīvu koordināciju un budžeta daudzpusēju uzraudzību un ar ko atceļ Padomes regulu (EK) Nr. 1466/97</w:t>
            </w:r>
            <w:r w:rsidR="00000000" w:rsidRPr="00000000" w:rsidDel="00000000">
              <w:rPr>
                <w:rtl w:val="0"/>
              </w:rPr>
              <w:t xml:space="preserve">. Lai uzlabotu likumprojekta teksta uztveramību, aicinām izvērtēt nepieciešamību izveidot saīsinājumus uz Eiropas Savienības regulām, uz kurām likumprojektā nepieciešams atsaukties vairākkārt, saīsinājumu noformējot atbilstoši Noteikumu Nr. 108 43. un 44.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29. aprīļa regulas (ES) 2024/1263 par ekonomikas politikas efektīvu koordināciju un budžeta daudzpusēju uzraudzību un ar ko atceļ Padomes regulu (EK) Nr. 1466/97 nosaukums saīsināts 5. panta trešās daļas 3. punktā (papildus grozījums likumprojektā) un turpmāk tekstā tiek lietots saīsinājums Regula 2024/1263.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Regulas 2024/1263 25. un 26. pantos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tas stājas spēkā:" </w:t>
            </w:r>
            <w:r w:rsidR="00000000" w:rsidRPr="00000000" w:rsidDel="00000000">
              <w:rPr>
                <w:i w:val="1"/>
                <w:rtl w:val="0"/>
              </w:rPr>
              <w:t xml:space="preserve">vienlaikus ar likumu “Par valsts budžetu 2026.gadam un budžeta ietvaru 2026., 2027. un 2028. gadam”</w:t>
            </w:r>
            <w:r w:rsidR="00000000" w:rsidRPr="00000000" w:rsidDel="00000000">
              <w:rPr>
                <w:rtl w:val="0"/>
              </w:rPr>
              <w:t xml:space="preserve">." Ievērojot minēto, aicinām precizēt anotācijas 1. sadaļā norādīto likumprojekta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norādīts spēkā stāšanās termiņš "Likums stājas spēkā vienlaikus ar likumu “Par valsts budžetu 2026.gadam un budžeta ietvaru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25-TA-2059</w:t>
    </w:r>
    <w:r>
      <w:br/>
    </w:r>
    <w:r w:rsidR="00000000" w:rsidRPr="00000000" w:rsidDel="00000000">
      <w:rPr>
        <w:rtl w:val="0"/>
      </w:rPr>
      <w:t xml:space="preserve">10.09.2025. 14.19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25-TA-2059</w:t>
    </w:r>
    <w:r>
      <w:br/>
    </w:r>
    <w:r w:rsidR="00000000" w:rsidRPr="00000000" w:rsidDel="00000000">
      <w:rPr>
        <w:rtl w:val="0"/>
      </w:rPr>
      <w:t xml:space="preserve">10.09.2025. 14.19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Izziņa_25-TA-2059.docx</dc:title>
</cp:coreProperties>
</file>

<file path=docProps/custom.xml><?xml version="1.0" encoding="utf-8"?>
<Properties xmlns="http://schemas.openxmlformats.org/officeDocument/2006/custom-properties" xmlns:vt="http://schemas.openxmlformats.org/officeDocument/2006/docPropsVTypes"/>
</file>