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atabula"/>
        <w:tblW w:w="0" w:type="auto"/>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6873"/>
      </w:tblGrid>
      <w:tr w:rsidR="00ED145A" w14:paraId="018817B1" w14:textId="77777777" w:rsidTr="00EF5C30">
        <w:tc>
          <w:tcPr>
            <w:tcW w:w="2324" w:type="dxa"/>
          </w:tcPr>
          <w:p w14:paraId="2AFC9D09" w14:textId="77777777" w:rsidR="008E3FA3" w:rsidRPr="00882A22" w:rsidRDefault="003350B9" w:rsidP="000007DA">
            <w:pPr>
              <w:ind w:left="-80" w:right="-118"/>
            </w:pPr>
            <w:r w:rsidRPr="00882A22">
              <w:rPr>
                <w:noProof/>
                <w:lang w:eastAsia="lv-LV"/>
              </w:rPr>
              <w:drawing>
                <wp:inline distT="0" distB="0" distL="0" distR="0" wp14:anchorId="7955D8B6" wp14:editId="6D67A9DD">
                  <wp:extent cx="1405255" cy="1119505"/>
                  <wp:effectExtent l="0" t="0" r="4445" b="4445"/>
                  <wp:docPr id="1" name="Picture 1" descr="lielais3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lais3_9"/>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05255" cy="1119505"/>
                          </a:xfrm>
                          <a:prstGeom prst="rect">
                            <a:avLst/>
                          </a:prstGeom>
                          <a:noFill/>
                          <a:ln>
                            <a:noFill/>
                          </a:ln>
                        </pic:spPr>
                      </pic:pic>
                    </a:graphicData>
                  </a:graphic>
                </wp:inline>
              </w:drawing>
            </w:r>
          </w:p>
        </w:tc>
        <w:tc>
          <w:tcPr>
            <w:tcW w:w="6873" w:type="dxa"/>
            <w:vAlign w:val="center"/>
          </w:tcPr>
          <w:p w14:paraId="38211C44" w14:textId="77777777" w:rsidR="00EA7D65" w:rsidRPr="00882A22" w:rsidRDefault="003350B9" w:rsidP="00EA7D65">
            <w:pPr>
              <w:spacing w:before="120" w:line="312" w:lineRule="auto"/>
              <w:jc w:val="center"/>
              <w:rPr>
                <w:sz w:val="28"/>
              </w:rPr>
            </w:pPr>
            <w:r w:rsidRPr="00882A22">
              <w:rPr>
                <w:sz w:val="28"/>
              </w:rPr>
              <w:t>LATVIJAS REPUBLIKAS PROKURATŪRA</w:t>
            </w:r>
          </w:p>
          <w:p w14:paraId="694626CE" w14:textId="77777777" w:rsidR="00EA7D65" w:rsidRPr="00882A22" w:rsidRDefault="003350B9" w:rsidP="00EA7D65">
            <w:pPr>
              <w:spacing w:line="264" w:lineRule="auto"/>
              <w:jc w:val="center"/>
              <w:rPr>
                <w:b/>
                <w:sz w:val="40"/>
              </w:rPr>
            </w:pPr>
            <w:r w:rsidRPr="00882A22">
              <w:rPr>
                <w:b/>
                <w:sz w:val="40"/>
              </w:rPr>
              <w:t>ĢENERĀLPROKURATŪRA</w:t>
            </w:r>
          </w:p>
          <w:p w14:paraId="434B9F54" w14:textId="77777777" w:rsidR="008E3FA3" w:rsidRPr="00882A22" w:rsidRDefault="00DD5BFB" w:rsidP="00EA7D65">
            <w:pPr>
              <w:spacing w:line="216" w:lineRule="auto"/>
              <w:ind w:left="-50"/>
              <w:jc w:val="center"/>
              <w:rPr>
                <w:b/>
                <w:sz w:val="8"/>
                <w:szCs w:val="8"/>
              </w:rPr>
            </w:pPr>
          </w:p>
          <w:p w14:paraId="472C21F9" w14:textId="77777777" w:rsidR="00EA7D65" w:rsidRPr="00882A22" w:rsidRDefault="003350B9" w:rsidP="00EA7D65">
            <w:pPr>
              <w:ind w:left="-50"/>
              <w:jc w:val="center"/>
              <w:rPr>
                <w:sz w:val="22"/>
              </w:rPr>
            </w:pPr>
            <w:proofErr w:type="spellStart"/>
            <w:r w:rsidRPr="00882A22">
              <w:rPr>
                <w:sz w:val="22"/>
              </w:rPr>
              <w:t>Reģ.Nr</w:t>
            </w:r>
            <w:proofErr w:type="spellEnd"/>
            <w:r w:rsidRPr="00882A22">
              <w:rPr>
                <w:sz w:val="22"/>
              </w:rPr>
              <w:t>. 90000022859, Kalpaka bulvārī 6, Rīgā, LV-1801</w:t>
            </w:r>
          </w:p>
          <w:p w14:paraId="032019BD" w14:textId="77777777" w:rsidR="008E3FA3" w:rsidRPr="00882A22" w:rsidRDefault="003350B9" w:rsidP="00EA7D65">
            <w:pPr>
              <w:ind w:left="-50"/>
              <w:jc w:val="center"/>
            </w:pPr>
            <w:r w:rsidRPr="00882A22">
              <w:rPr>
                <w:sz w:val="22"/>
              </w:rPr>
              <w:t>tālr. 67044400, fakss 67044449, e-pasts: gen@lrp.gov.lv</w:t>
            </w:r>
          </w:p>
        </w:tc>
      </w:tr>
    </w:tbl>
    <w:p w14:paraId="5D01A556" w14:textId="77777777" w:rsidR="00177881" w:rsidRPr="00882A22" w:rsidRDefault="00DD5BFB" w:rsidP="00177881">
      <w:pPr>
        <w:rPr>
          <w:sz w:val="8"/>
          <w:szCs w:val="8"/>
        </w:rPr>
      </w:pPr>
    </w:p>
    <w:tbl>
      <w:tblPr>
        <w:tblW w:w="9683" w:type="dxa"/>
        <w:tblBorders>
          <w:top w:val="double" w:sz="12" w:space="0" w:color="auto"/>
        </w:tblBorders>
        <w:tblLayout w:type="fixed"/>
        <w:tblLook w:val="0000" w:firstRow="0" w:lastRow="0" w:firstColumn="0" w:lastColumn="0" w:noHBand="0" w:noVBand="0"/>
      </w:tblPr>
      <w:tblGrid>
        <w:gridCol w:w="9683"/>
      </w:tblGrid>
      <w:tr w:rsidR="00ED145A" w14:paraId="209DF0C9" w14:textId="77777777" w:rsidTr="00914657">
        <w:trPr>
          <w:cantSplit/>
        </w:trPr>
        <w:tc>
          <w:tcPr>
            <w:tcW w:w="9575" w:type="dxa"/>
          </w:tcPr>
          <w:p w14:paraId="2330C262" w14:textId="77777777" w:rsidR="00C64B92" w:rsidRPr="00882A22" w:rsidRDefault="003350B9" w:rsidP="00914657">
            <w:pPr>
              <w:spacing w:line="276" w:lineRule="auto"/>
              <w:ind w:hanging="388"/>
              <w:jc w:val="center"/>
              <w:rPr>
                <w:bCs/>
              </w:rPr>
            </w:pPr>
            <w:r w:rsidRPr="00882A22">
              <w:rPr>
                <w:bCs/>
              </w:rPr>
              <w:t>Rīgā</w:t>
            </w:r>
          </w:p>
        </w:tc>
      </w:tr>
    </w:tbl>
    <w:tbl>
      <w:tblPr>
        <w:tblpPr w:leftFromText="180" w:rightFromText="180" w:vertAnchor="text" w:horzAnchor="margin" w:tblpY="266"/>
        <w:tblW w:w="9868" w:type="dxa"/>
        <w:tblLayout w:type="fixed"/>
        <w:tblLook w:val="04A0" w:firstRow="1" w:lastRow="0" w:firstColumn="1" w:lastColumn="0" w:noHBand="0" w:noVBand="1"/>
      </w:tblPr>
      <w:tblGrid>
        <w:gridCol w:w="2088"/>
        <w:gridCol w:w="606"/>
        <w:gridCol w:w="3118"/>
        <w:gridCol w:w="4056"/>
      </w:tblGrid>
      <w:tr w:rsidR="00ED145A" w14:paraId="20E61A13" w14:textId="77777777" w:rsidTr="003E18F4">
        <w:trPr>
          <w:gridAfter w:val="1"/>
          <w:wAfter w:w="4056" w:type="dxa"/>
        </w:trPr>
        <w:tc>
          <w:tcPr>
            <w:tcW w:w="2088" w:type="dxa"/>
            <w:tcBorders>
              <w:top w:val="nil"/>
              <w:left w:val="nil"/>
              <w:right w:val="nil"/>
            </w:tcBorders>
          </w:tcPr>
          <w:p w14:paraId="662B17EC" w14:textId="77777777" w:rsidR="00C64B92" w:rsidRPr="00882A22" w:rsidRDefault="003350B9" w:rsidP="00914657">
            <w:pPr>
              <w:spacing w:line="276" w:lineRule="auto"/>
            </w:pPr>
            <w:fldSimple w:instr=" DOCPROPERTY  #DOC_DAT#  \* MERGEFORMAT ">
              <w:r>
                <w:t>10.05.2021.</w:t>
              </w:r>
            </w:fldSimple>
          </w:p>
        </w:tc>
        <w:tc>
          <w:tcPr>
            <w:tcW w:w="606" w:type="dxa"/>
            <w:tcBorders>
              <w:top w:val="nil"/>
              <w:left w:val="nil"/>
              <w:right w:val="nil"/>
            </w:tcBorders>
          </w:tcPr>
          <w:p w14:paraId="1E41AED3" w14:textId="77777777" w:rsidR="00C64B92" w:rsidRPr="00882A22" w:rsidRDefault="003350B9" w:rsidP="00914657">
            <w:pPr>
              <w:tabs>
                <w:tab w:val="left" w:pos="3960"/>
              </w:tabs>
              <w:spacing w:line="276" w:lineRule="auto"/>
              <w:jc w:val="both"/>
            </w:pPr>
            <w:r w:rsidRPr="00882A22">
              <w:t>Nr.</w:t>
            </w:r>
          </w:p>
        </w:tc>
        <w:tc>
          <w:tcPr>
            <w:tcW w:w="3118" w:type="dxa"/>
            <w:tcBorders>
              <w:top w:val="nil"/>
              <w:left w:val="nil"/>
              <w:right w:val="nil"/>
            </w:tcBorders>
          </w:tcPr>
          <w:p w14:paraId="58DC9251" w14:textId="77777777" w:rsidR="00C64B92" w:rsidRPr="00882A22" w:rsidRDefault="003350B9" w:rsidP="00914657">
            <w:pPr>
              <w:spacing w:line="276" w:lineRule="auto"/>
            </w:pPr>
            <w:fldSimple w:instr=" DOCPROPERTY  #DOC_NR#  \* MERGEFORMAT ">
              <w:r>
                <w:t>N-120-2021-00127</w:t>
              </w:r>
            </w:fldSimple>
          </w:p>
        </w:tc>
      </w:tr>
      <w:tr w:rsidR="00ED145A" w14:paraId="70223879" w14:textId="77777777" w:rsidTr="003E18F4">
        <w:tc>
          <w:tcPr>
            <w:tcW w:w="5812" w:type="dxa"/>
            <w:gridSpan w:val="3"/>
            <w:tcBorders>
              <w:top w:val="nil"/>
              <w:left w:val="nil"/>
              <w:right w:val="nil"/>
            </w:tcBorders>
          </w:tcPr>
          <w:p w14:paraId="36830CEA" w14:textId="77777777" w:rsidR="00C64B92" w:rsidRPr="00882A22" w:rsidRDefault="003350B9" w:rsidP="00914657">
            <w:r w:rsidRPr="00882A22">
              <w:t xml:space="preserve">Uz </w:t>
            </w:r>
            <w:r w:rsidRPr="00882A22">
              <w:rPr>
                <w:rStyle w:val="Style3Char"/>
              </w:rPr>
              <w:t xml:space="preserve"> </w:t>
            </w:r>
            <w:r>
              <w:rPr>
                <w:rStyle w:val="Style3Char"/>
              </w:rPr>
              <w:t>22.04.2021. VSS-353</w:t>
            </w:r>
          </w:p>
        </w:tc>
        <w:tc>
          <w:tcPr>
            <w:tcW w:w="4056" w:type="dxa"/>
            <w:vMerge w:val="restart"/>
            <w:vAlign w:val="bottom"/>
          </w:tcPr>
          <w:p w14:paraId="5C9347D2" w14:textId="77777777" w:rsidR="003E18F4" w:rsidRPr="00E213D8" w:rsidRDefault="003350B9" w:rsidP="003E18F4">
            <w:pPr>
              <w:ind w:left="1960" w:hanging="1960"/>
            </w:pPr>
            <w:r>
              <w:t>Iekšlietu</w:t>
            </w:r>
            <w:r w:rsidRPr="00E213D8">
              <w:t xml:space="preserve"> ministrijas</w:t>
            </w:r>
          </w:p>
          <w:p w14:paraId="193722D3" w14:textId="77777777" w:rsidR="003E18F4" w:rsidRPr="00E213D8" w:rsidRDefault="003350B9" w:rsidP="003E18F4">
            <w:pPr>
              <w:ind w:left="1960" w:hanging="1960"/>
            </w:pPr>
            <w:r w:rsidRPr="00E213D8">
              <w:t>valsts sekretār</w:t>
            </w:r>
            <w:r>
              <w:t>am</w:t>
            </w:r>
          </w:p>
          <w:p w14:paraId="733FC2D4" w14:textId="77777777" w:rsidR="00C64B92" w:rsidRPr="00882A22" w:rsidRDefault="003350B9" w:rsidP="003E18F4">
            <w:pPr>
              <w:spacing w:line="276" w:lineRule="auto"/>
            </w:pPr>
            <w:proofErr w:type="spellStart"/>
            <w:r>
              <w:t>D</w:t>
            </w:r>
            <w:r w:rsidRPr="00E213D8">
              <w:t>.</w:t>
            </w:r>
            <w:r>
              <w:t>Trofimova</w:t>
            </w:r>
            <w:proofErr w:type="spellEnd"/>
            <w:r w:rsidRPr="00E213D8">
              <w:t xml:space="preserve"> k-</w:t>
            </w:r>
            <w:proofErr w:type="spellStart"/>
            <w:r>
              <w:t>gam</w:t>
            </w:r>
            <w:proofErr w:type="spellEnd"/>
          </w:p>
        </w:tc>
      </w:tr>
      <w:tr w:rsidR="00ED145A" w14:paraId="48D94F48" w14:textId="77777777" w:rsidTr="003E18F4">
        <w:trPr>
          <w:trHeight w:val="550"/>
        </w:trPr>
        <w:tc>
          <w:tcPr>
            <w:tcW w:w="5812" w:type="dxa"/>
            <w:gridSpan w:val="3"/>
            <w:tcBorders>
              <w:top w:val="nil"/>
              <w:left w:val="nil"/>
              <w:right w:val="nil"/>
            </w:tcBorders>
          </w:tcPr>
          <w:p w14:paraId="6BDD64BA" w14:textId="77777777" w:rsidR="00C64B92" w:rsidRPr="00882A22" w:rsidRDefault="00DD5BFB" w:rsidP="00914657">
            <w:pPr>
              <w:rPr>
                <w:color w:val="FF0000"/>
              </w:rPr>
            </w:pPr>
          </w:p>
        </w:tc>
        <w:tc>
          <w:tcPr>
            <w:tcW w:w="4056" w:type="dxa"/>
            <w:vMerge/>
            <w:vAlign w:val="bottom"/>
          </w:tcPr>
          <w:p w14:paraId="276E2DA1" w14:textId="77777777" w:rsidR="00C64B92" w:rsidRPr="00882A22" w:rsidRDefault="00DD5BFB" w:rsidP="00914657">
            <w:pPr>
              <w:spacing w:line="276" w:lineRule="auto"/>
              <w:jc w:val="right"/>
              <w:rPr>
                <w:color w:val="FF0000"/>
              </w:rPr>
            </w:pPr>
          </w:p>
        </w:tc>
      </w:tr>
      <w:tr w:rsidR="00ED145A" w14:paraId="07959A64" w14:textId="77777777" w:rsidTr="003E18F4">
        <w:trPr>
          <w:gridAfter w:val="1"/>
          <w:wAfter w:w="4056" w:type="dxa"/>
          <w:trHeight w:val="622"/>
        </w:trPr>
        <w:tc>
          <w:tcPr>
            <w:tcW w:w="5812" w:type="dxa"/>
            <w:gridSpan w:val="3"/>
            <w:tcBorders>
              <w:top w:val="nil"/>
              <w:left w:val="nil"/>
              <w:bottom w:val="nil"/>
              <w:right w:val="nil"/>
            </w:tcBorders>
            <w:vAlign w:val="bottom"/>
          </w:tcPr>
          <w:p w14:paraId="53C3562C" w14:textId="77777777" w:rsidR="0027644E" w:rsidRDefault="00DD5BFB" w:rsidP="003E18F4">
            <w:pPr>
              <w:tabs>
                <w:tab w:val="left" w:pos="7005"/>
              </w:tabs>
              <w:rPr>
                <w:i/>
                <w:color w:val="000000"/>
              </w:rPr>
            </w:pPr>
          </w:p>
          <w:p w14:paraId="07CDA7BC" w14:textId="77777777" w:rsidR="0027644E" w:rsidRDefault="00DD5BFB" w:rsidP="003E18F4">
            <w:pPr>
              <w:tabs>
                <w:tab w:val="left" w:pos="7005"/>
              </w:tabs>
              <w:rPr>
                <w:i/>
                <w:color w:val="000000"/>
              </w:rPr>
            </w:pPr>
          </w:p>
          <w:p w14:paraId="77A8914A" w14:textId="77777777" w:rsidR="003E18F4" w:rsidRDefault="003350B9" w:rsidP="003E18F4">
            <w:pPr>
              <w:tabs>
                <w:tab w:val="left" w:pos="7005"/>
              </w:tabs>
              <w:rPr>
                <w:i/>
                <w:color w:val="000000"/>
              </w:rPr>
            </w:pPr>
            <w:r w:rsidRPr="00B549DE">
              <w:rPr>
                <w:i/>
                <w:color w:val="000000"/>
              </w:rPr>
              <w:t>Par</w:t>
            </w:r>
            <w:r>
              <w:rPr>
                <w:i/>
                <w:color w:val="000000"/>
              </w:rPr>
              <w:t xml:space="preserve"> Ministru kabineta noteikumu projektu</w:t>
            </w:r>
          </w:p>
          <w:p w14:paraId="18DAB45A" w14:textId="77777777" w:rsidR="003E18F4" w:rsidRDefault="003350B9" w:rsidP="003E18F4">
            <w:pPr>
              <w:tabs>
                <w:tab w:val="left" w:pos="7005"/>
              </w:tabs>
              <w:rPr>
                <w:i/>
                <w:color w:val="000000"/>
              </w:rPr>
            </w:pPr>
            <w:bookmarkStart w:id="0" w:name="_Hlk63322008"/>
            <w:r>
              <w:rPr>
                <w:i/>
                <w:color w:val="000000"/>
              </w:rPr>
              <w:t xml:space="preserve">“Kriminālizlūkošanas atbalsta informācijas </w:t>
            </w:r>
          </w:p>
          <w:p w14:paraId="1945ACE6" w14:textId="77777777" w:rsidR="003E18F4" w:rsidRDefault="003350B9" w:rsidP="003E18F4">
            <w:pPr>
              <w:tabs>
                <w:tab w:val="left" w:pos="7005"/>
              </w:tabs>
              <w:rPr>
                <w:bCs/>
                <w:i/>
                <w:color w:val="000000"/>
              </w:rPr>
            </w:pPr>
            <w:r>
              <w:rPr>
                <w:i/>
                <w:color w:val="000000"/>
              </w:rPr>
              <w:t>sistēmas noteikumi”</w:t>
            </w:r>
            <w:bookmarkEnd w:id="0"/>
            <w:r>
              <w:rPr>
                <w:i/>
                <w:color w:val="000000"/>
              </w:rPr>
              <w:t xml:space="preserve"> </w:t>
            </w:r>
            <w:r>
              <w:rPr>
                <w:bCs/>
                <w:i/>
                <w:color w:val="000000"/>
              </w:rPr>
              <w:t xml:space="preserve"> </w:t>
            </w:r>
          </w:p>
          <w:p w14:paraId="2106C2FB" w14:textId="77777777" w:rsidR="00C64B92" w:rsidRDefault="003350B9" w:rsidP="003E18F4">
            <w:pPr>
              <w:spacing w:line="276" w:lineRule="auto"/>
              <w:rPr>
                <w:i/>
              </w:rPr>
            </w:pPr>
            <w:r>
              <w:rPr>
                <w:bCs/>
                <w:i/>
                <w:color w:val="000000"/>
              </w:rPr>
              <w:t xml:space="preserve">un </w:t>
            </w:r>
            <w:r w:rsidRPr="00B549DE">
              <w:rPr>
                <w:i/>
              </w:rPr>
              <w:t>tā anotāciju</w:t>
            </w:r>
          </w:p>
          <w:p w14:paraId="1B72DF58" w14:textId="77777777" w:rsidR="003E18F4" w:rsidRDefault="00DD5BFB" w:rsidP="003E18F4">
            <w:pPr>
              <w:spacing w:line="276" w:lineRule="auto"/>
              <w:rPr>
                <w:i/>
              </w:rPr>
            </w:pPr>
          </w:p>
          <w:p w14:paraId="20EEE360" w14:textId="77777777" w:rsidR="003E18F4" w:rsidRPr="00882A22" w:rsidRDefault="00DD5BFB" w:rsidP="003E18F4">
            <w:pPr>
              <w:spacing w:line="276" w:lineRule="auto"/>
            </w:pPr>
          </w:p>
        </w:tc>
      </w:tr>
    </w:tbl>
    <w:p w14:paraId="1150B0DE" w14:textId="77777777" w:rsidR="003E18F4" w:rsidRPr="003E18F4" w:rsidRDefault="003350B9" w:rsidP="0027644E">
      <w:pPr>
        <w:tabs>
          <w:tab w:val="left" w:pos="426"/>
        </w:tabs>
        <w:jc w:val="both"/>
        <w:rPr>
          <w:lang w:eastAsia="lv-LV"/>
        </w:rPr>
      </w:pPr>
      <w:r>
        <w:rPr>
          <w:lang w:eastAsia="lv-LV"/>
        </w:rPr>
        <w:tab/>
      </w:r>
      <w:r w:rsidRPr="003E18F4">
        <w:rPr>
          <w:lang w:eastAsia="lv-LV"/>
        </w:rPr>
        <w:t>Ģenerālprokuratūra savas kompetences ietvaros ir izvērtējusi Iekšlietu ministrijas izstrādāto un 2021. gada 22. aprīlī Valsts sekretāru sanāksmē izsludināto (VSS-353) noteikumu projektu “Kriminālizlūkošanas atbalsta informācijas sistēmas noteikumi” (turpmāk – noteikumu projekts) un tā sākotnējās ietekmes novērtējuma ziņojumu (anotāciju). Minēto noteikumu projektu un tā anotāciju konceptuāli atbalstām, vienlaicīgi izsakot šādu iebildumu:</w:t>
      </w:r>
    </w:p>
    <w:p w14:paraId="5F9DF383" w14:textId="77777777" w:rsidR="003E18F4" w:rsidRPr="003E18F4" w:rsidRDefault="003350B9" w:rsidP="003E18F4">
      <w:pPr>
        <w:numPr>
          <w:ilvl w:val="0"/>
          <w:numId w:val="1"/>
        </w:numPr>
        <w:contextualSpacing/>
        <w:jc w:val="both"/>
        <w:rPr>
          <w:lang w:eastAsia="lv-LV"/>
        </w:rPr>
      </w:pPr>
      <w:r w:rsidRPr="003E18F4">
        <w:rPr>
          <w:lang w:eastAsia="lv-LV"/>
        </w:rPr>
        <w:t xml:space="preserve">noteikumu projekta 34. punktā noteikts, ka </w:t>
      </w:r>
      <w:r w:rsidRPr="003E18F4">
        <w:rPr>
          <w:i/>
          <w:iCs/>
          <w:lang w:eastAsia="lv-LV"/>
        </w:rPr>
        <w:t xml:space="preserve">piekļuve Kriminālizlūkošanas atbalsta informācijas sistēmā (turpmāk – Sistēma) iekļautajai informācijai piešķirama Valsts policijas, Valsts robežsardzes un Valsts ieņēmumu dienesta nodarbinātajiem. </w:t>
      </w:r>
      <w:r w:rsidRPr="003E18F4">
        <w:rPr>
          <w:lang w:eastAsia="lv-LV"/>
        </w:rPr>
        <w:t>Savukārt no noteikumu projekta anotācijā norādītā izriet, ka ar Nacionālā kriminālizlūkošanas modeļa (turpmāk – NKIM) realizācijas 2.posma mērķu sasniegšanu</w:t>
      </w:r>
      <w:r w:rsidRPr="003E18F4">
        <w:rPr>
          <w:i/>
          <w:iCs/>
          <w:lang w:eastAsia="lv-LV"/>
        </w:rPr>
        <w:t xml:space="preserve"> </w:t>
      </w:r>
      <w:r w:rsidRPr="003E18F4">
        <w:rPr>
          <w:lang w:eastAsia="lv-LV"/>
        </w:rPr>
        <w:t>tiks</w:t>
      </w:r>
      <w:r w:rsidRPr="003E18F4">
        <w:rPr>
          <w:i/>
          <w:iCs/>
          <w:lang w:eastAsia="lv-LV"/>
        </w:rPr>
        <w:t xml:space="preserve"> </w:t>
      </w:r>
      <w:r w:rsidRPr="003E18F4">
        <w:rPr>
          <w:lang w:eastAsia="lv-LV"/>
        </w:rPr>
        <w:t>lemts par NKIM paplašināšanu un citu valsts iestāžu iesaistīšanu NKIM darbībā.</w:t>
      </w:r>
      <w:r w:rsidRPr="003E18F4">
        <w:rPr>
          <w:i/>
          <w:iCs/>
          <w:lang w:eastAsia="lv-LV"/>
        </w:rPr>
        <w:t xml:space="preserve"> </w:t>
      </w:r>
      <w:r w:rsidRPr="003E18F4">
        <w:rPr>
          <w:lang w:eastAsia="lv-LV"/>
        </w:rPr>
        <w:t>Noteikumu projekta anotācijā norādīts, ka</w:t>
      </w:r>
      <w:r w:rsidRPr="003E18F4">
        <w:rPr>
          <w:i/>
          <w:iCs/>
          <w:lang w:eastAsia="lv-LV"/>
        </w:rPr>
        <w:t xml:space="preserve"> perspektīvā Sistēmas darbībā varēs iesaistīties arī citas Ministru kabineta 2017. gada 24</w:t>
      </w:r>
      <w:r>
        <w:rPr>
          <w:i/>
          <w:iCs/>
          <w:lang w:eastAsia="lv-LV"/>
        </w:rPr>
        <w:t>. </w:t>
      </w:r>
      <w:r w:rsidRPr="003E18F4">
        <w:rPr>
          <w:i/>
          <w:iCs/>
          <w:lang w:eastAsia="lv-LV"/>
        </w:rPr>
        <w:t>janvāra instrukcijā Nr.</w:t>
      </w:r>
      <w:r>
        <w:rPr>
          <w:i/>
          <w:iCs/>
          <w:lang w:eastAsia="lv-LV"/>
        </w:rPr>
        <w:t> </w:t>
      </w:r>
      <w:r w:rsidRPr="003E18F4">
        <w:rPr>
          <w:i/>
          <w:iCs/>
          <w:lang w:eastAsia="lv-LV"/>
        </w:rPr>
        <w:t>1</w:t>
      </w:r>
      <w:r>
        <w:rPr>
          <w:i/>
          <w:iCs/>
          <w:lang w:eastAsia="lv-LV"/>
        </w:rPr>
        <w:t> </w:t>
      </w:r>
      <w:r w:rsidRPr="003E18F4">
        <w:rPr>
          <w:i/>
          <w:iCs/>
          <w:lang w:eastAsia="lv-LV"/>
        </w:rPr>
        <w:t>“Tiesībaizsardzības iestāžu sadarbības kārtība noziedzības novēršanā un apkarošanā” minētās iestādes</w:t>
      </w:r>
      <w:r w:rsidRPr="003E18F4">
        <w:rPr>
          <w:lang w:eastAsia="lv-LV"/>
        </w:rPr>
        <w:t>. No minētā izriet, ka nākotnē ir paredzēts dot piekļuvi Sistēmai visām iestādēm, kas veic operatīvo darbību un izpilda kriminālprocesa uzdevumus, kas ir atbalstāmi, jo tikai tad, kad visi operatīvās darbības subjekti un izmeklēšanas iestādes izmantos šo sistēmu, kriminālizlūkošanai paredzētās informācijas aprite būs pēc iespējas pilnīgāka.</w:t>
      </w:r>
    </w:p>
    <w:p w14:paraId="4993D1A4" w14:textId="77777777" w:rsidR="003E18F4" w:rsidRPr="003E18F4" w:rsidRDefault="003350B9" w:rsidP="003E18F4">
      <w:pPr>
        <w:ind w:left="720" w:firstLine="720"/>
        <w:contextualSpacing/>
        <w:jc w:val="both"/>
        <w:rPr>
          <w:lang w:eastAsia="lv-LV"/>
        </w:rPr>
      </w:pPr>
      <w:r w:rsidRPr="003E18F4">
        <w:rPr>
          <w:lang w:eastAsia="lv-LV"/>
        </w:rPr>
        <w:t>Vēršam uzmanību, ka atbilstoši Ministru kabineta 2017. gada 24. janvāra instrukcijā Nr. 1 “Tiesībaizsardzības iestāžu sadarbības kārtība noziedzības novēršanā un apkarošanā” noteiktajam, Tiesībaizsardzības iestāžu vadības grupas sastāvā ir arī ģenerālprokurors vai viņa pilnvarots prokurors, arī starpinstitūciju ekspertu grupas sastāvā ir Ģenerālprokuratūras pārstāvis. Neskatoties uz noteikumu projekta anotācijā norādīto, uzskatām, ka Ģenerālprokuratūra jau šobrīd būtu iekļaujama noteikumu projekta 34.punktā kā iestāde, kurai ir tiesības piekļūt Sistēmā iekļautai informācijai turpmāk norādīto iemeslu dēļ.</w:t>
      </w:r>
    </w:p>
    <w:p w14:paraId="46DE4D61" w14:textId="77777777" w:rsidR="003E18F4" w:rsidRPr="003E18F4" w:rsidRDefault="003350B9" w:rsidP="003E18F4">
      <w:pPr>
        <w:ind w:left="720" w:firstLine="720"/>
        <w:jc w:val="both"/>
        <w:rPr>
          <w:lang w:eastAsia="lv-LV"/>
        </w:rPr>
      </w:pPr>
      <w:r w:rsidRPr="003E18F4">
        <w:rPr>
          <w:lang w:eastAsia="lv-LV"/>
        </w:rPr>
        <w:t xml:space="preserve">Atbilstoši Operatīvās darbības likuma 35. panta pirmajai daļai uzraudzību pār operatīvās darbības atbilstību likumiem veic ģenerālprokurors un viņa īpaši pilnvaroti prokurori. Veicot uzraudzību, prokurors ir tiesīgs iepazīties ar operatīvās darbības subjekta rīcībā esošajiem dokumentiem, materiāliem un informāciju jebkurā operatīvās darbības stadijā. Turklāt atbilstoši Operatīvās darbības likuma 36. panta pirmās un otrās daļas </w:t>
      </w:r>
      <w:r w:rsidRPr="003E18F4">
        <w:rPr>
          <w:lang w:eastAsia="lv-LV"/>
        </w:rPr>
        <w:lastRenderedPageBreak/>
        <w:t>nosacījumiem, ja persona iesniegusi sūdzību par iespējamu operatīvās darbības subjekta amatpersonas rīcību, kas pārkāpj tās likumīgās tiesības un brīvības, īpaši pilnvarots prokurors noskaidro, vai pret attiecīgo personu sūdzībā norādītajā laikā tika veikta operatīvā darbība. Ja pret attiecīgo personu sūdzībā norādītajā laikā tika veikta operatīvā darbība, īpaši pilnvarots prokurors, pārbaudot operatīvās darbības subjekta amatpersonas rīcības atbilstību likumam, iepazīstas ar attiecīgajā operatīvās darbības procesā iegūtajiem dokumentiem, materiāliem un informāciju.</w:t>
      </w:r>
    </w:p>
    <w:p w14:paraId="594B630B" w14:textId="77777777" w:rsidR="003E18F4" w:rsidRPr="003E18F4" w:rsidRDefault="003350B9" w:rsidP="003E18F4">
      <w:pPr>
        <w:shd w:val="clear" w:color="auto" w:fill="FFFFFF"/>
        <w:tabs>
          <w:tab w:val="left" w:pos="349"/>
        </w:tabs>
        <w:ind w:left="709" w:firstLine="11"/>
        <w:jc w:val="both"/>
        <w:rPr>
          <w:lang w:eastAsia="lv-LV"/>
        </w:rPr>
      </w:pPr>
      <w:r w:rsidRPr="003E18F4">
        <w:rPr>
          <w:lang w:eastAsia="lv-LV"/>
        </w:rPr>
        <w:tab/>
        <w:t xml:space="preserve">Ņemot vērā, ka Sistēmā tiks iekļauta informācija par operatīvās uzskaites lietām un šāda informācija ģenerālprokuroram un viņa īpaši pilnvarotiem prokuroriem ir nepieciešama, veicot operatīvās darbības subjektu uzraudzību, uzskatām, ka </w:t>
      </w:r>
      <w:commentRangeStart w:id="1"/>
      <w:r w:rsidRPr="00415387">
        <w:rPr>
          <w:highlight w:val="yellow"/>
          <w:lang w:eastAsia="lv-LV"/>
        </w:rPr>
        <w:t>noteikumu projekta 34.punkts ir papildināms ar Ģenerālprokuratūru kā vienu no iestādēm, kurai tiek piešķirta piekļuve Sistēmā iekļautai informācijai.</w:t>
      </w:r>
      <w:commentRangeEnd w:id="1"/>
      <w:r w:rsidR="00415387">
        <w:rPr>
          <w:rStyle w:val="Komentraatsauce"/>
        </w:rPr>
        <w:commentReference w:id="1"/>
      </w:r>
    </w:p>
    <w:p w14:paraId="3C2390E9" w14:textId="77777777" w:rsidR="003E18F4" w:rsidRPr="003E18F4" w:rsidRDefault="00DD5BFB" w:rsidP="003E18F4">
      <w:pPr>
        <w:jc w:val="both"/>
        <w:rPr>
          <w:lang w:eastAsia="lv-LV"/>
        </w:rPr>
      </w:pPr>
    </w:p>
    <w:p w14:paraId="3B7B1469" w14:textId="77777777" w:rsidR="003E18F4" w:rsidRPr="003E18F4" w:rsidRDefault="003350B9" w:rsidP="003E18F4">
      <w:pPr>
        <w:jc w:val="both"/>
        <w:rPr>
          <w:lang w:eastAsia="lv-LV"/>
        </w:rPr>
      </w:pPr>
      <w:r w:rsidRPr="003E18F4">
        <w:rPr>
          <w:lang w:eastAsia="lv-LV"/>
        </w:rPr>
        <w:t>Vienlaikus, izvērtējot noteikumu projekta anotācijā norādīto, izsakām šādu priekšlikumu:</w:t>
      </w:r>
    </w:p>
    <w:p w14:paraId="7BCACAD8" w14:textId="77777777" w:rsidR="003E18F4" w:rsidRPr="003E18F4" w:rsidRDefault="003350B9" w:rsidP="003E18F4">
      <w:pPr>
        <w:numPr>
          <w:ilvl w:val="0"/>
          <w:numId w:val="1"/>
        </w:numPr>
        <w:jc w:val="both"/>
        <w:rPr>
          <w:lang w:eastAsia="lv-LV"/>
        </w:rPr>
      </w:pPr>
      <w:r w:rsidRPr="003E18F4">
        <w:rPr>
          <w:lang w:eastAsia="lv-LV"/>
        </w:rPr>
        <w:t xml:space="preserve">anotācijas 4. lapā kā avots no kura Sistēmā tiks iekļauta informācija norādīts – kriminālprocesa lietas materiāli. Vēršam uzmanību, ka minētais termins neatbilst Kriminālprocesa likumā lietotajai terminoloģijai, tādēļ rosinām lietot terminu – krimināllietas materiāli. </w:t>
      </w:r>
    </w:p>
    <w:p w14:paraId="2DD4C458" w14:textId="77777777" w:rsidR="003E18F4" w:rsidRPr="003E18F4" w:rsidRDefault="00DD5BFB" w:rsidP="003E18F4">
      <w:pPr>
        <w:jc w:val="both"/>
        <w:rPr>
          <w:lang w:eastAsia="lv-LV"/>
        </w:rPr>
      </w:pPr>
    </w:p>
    <w:p w14:paraId="567D31D1" w14:textId="77777777" w:rsidR="003E18F4" w:rsidRPr="003E18F4" w:rsidRDefault="003350B9" w:rsidP="003E18F4">
      <w:pPr>
        <w:jc w:val="both"/>
        <w:rPr>
          <w:lang w:eastAsia="lv-LV"/>
        </w:rPr>
      </w:pPr>
      <w:r w:rsidRPr="003E18F4">
        <w:rPr>
          <w:lang w:eastAsia="lv-LV"/>
        </w:rPr>
        <w:t>Cieņā</w:t>
      </w:r>
    </w:p>
    <w:p w14:paraId="1BED1491" w14:textId="77777777" w:rsidR="003E18F4" w:rsidRPr="003E18F4" w:rsidRDefault="00DD5BFB" w:rsidP="003E18F4">
      <w:pPr>
        <w:jc w:val="both"/>
        <w:rPr>
          <w:lang w:eastAsia="lv-LV"/>
        </w:rPr>
      </w:pPr>
    </w:p>
    <w:p w14:paraId="713AB8E4" w14:textId="77777777" w:rsidR="003E18F4" w:rsidRPr="003E18F4" w:rsidRDefault="003350B9" w:rsidP="003E18F4">
      <w:pPr>
        <w:jc w:val="both"/>
        <w:rPr>
          <w:lang w:eastAsia="lv-LV"/>
        </w:rPr>
      </w:pPr>
      <w:r w:rsidRPr="003E18F4">
        <w:rPr>
          <w:lang w:eastAsia="lv-LV"/>
        </w:rPr>
        <w:t>Darbības kontroles un starptautiskās sadarbības</w:t>
      </w:r>
    </w:p>
    <w:p w14:paraId="74D40833" w14:textId="77777777" w:rsidR="003E18F4" w:rsidRPr="003E18F4" w:rsidRDefault="003350B9" w:rsidP="003E18F4">
      <w:pPr>
        <w:jc w:val="both"/>
        <w:rPr>
          <w:lang w:eastAsia="lv-LV"/>
        </w:rPr>
      </w:pPr>
      <w:r w:rsidRPr="003E18F4">
        <w:rPr>
          <w:lang w:eastAsia="lv-LV"/>
        </w:rPr>
        <w:t>departamenta virsprokurors</w:t>
      </w:r>
      <w:r w:rsidRPr="003E18F4">
        <w:rPr>
          <w:lang w:eastAsia="lv-LV"/>
        </w:rPr>
        <w:tab/>
      </w:r>
      <w:r w:rsidRPr="003E18F4">
        <w:rPr>
          <w:lang w:eastAsia="lv-LV"/>
        </w:rPr>
        <w:tab/>
      </w:r>
      <w:r w:rsidRPr="003E18F4">
        <w:rPr>
          <w:lang w:eastAsia="lv-LV"/>
        </w:rPr>
        <w:tab/>
      </w:r>
      <w:r w:rsidRPr="003E18F4">
        <w:rPr>
          <w:lang w:eastAsia="lv-LV"/>
        </w:rPr>
        <w:tab/>
        <w:t xml:space="preserve">                                </w:t>
      </w:r>
      <w:r w:rsidRPr="003E18F4">
        <w:rPr>
          <w:lang w:eastAsia="lv-LV"/>
        </w:rPr>
        <w:tab/>
      </w:r>
      <w:r w:rsidRPr="003E18F4">
        <w:rPr>
          <w:lang w:eastAsia="lv-LV"/>
        </w:rPr>
        <w:tab/>
        <w:t xml:space="preserve">  </w:t>
      </w:r>
      <w:proofErr w:type="spellStart"/>
      <w:r w:rsidRPr="003E18F4">
        <w:rPr>
          <w:lang w:eastAsia="lv-LV"/>
        </w:rPr>
        <w:t>A.Ostapko</w:t>
      </w:r>
      <w:proofErr w:type="spellEnd"/>
    </w:p>
    <w:p w14:paraId="054B72A9" w14:textId="77777777" w:rsidR="003E18F4" w:rsidRPr="003E18F4" w:rsidRDefault="00DD5BFB" w:rsidP="003E18F4">
      <w:pPr>
        <w:jc w:val="both"/>
        <w:rPr>
          <w:lang w:eastAsia="lv-LV"/>
        </w:rPr>
      </w:pPr>
    </w:p>
    <w:p w14:paraId="3A7A60B0" w14:textId="77777777" w:rsidR="003E18F4" w:rsidRPr="003E18F4" w:rsidRDefault="003350B9" w:rsidP="003E18F4">
      <w:pPr>
        <w:jc w:val="both"/>
        <w:rPr>
          <w:sz w:val="20"/>
          <w:szCs w:val="20"/>
          <w:lang w:eastAsia="lv-LV"/>
        </w:rPr>
      </w:pPr>
      <w:proofErr w:type="spellStart"/>
      <w:r w:rsidRPr="003E18F4">
        <w:rPr>
          <w:sz w:val="20"/>
          <w:szCs w:val="20"/>
          <w:lang w:eastAsia="lv-LV"/>
        </w:rPr>
        <w:t>D.Trušinska</w:t>
      </w:r>
      <w:proofErr w:type="spellEnd"/>
      <w:r w:rsidRPr="003E18F4">
        <w:rPr>
          <w:sz w:val="20"/>
          <w:szCs w:val="20"/>
          <w:lang w:eastAsia="lv-LV"/>
        </w:rPr>
        <w:t xml:space="preserve"> 67044881</w:t>
      </w:r>
    </w:p>
    <w:p w14:paraId="03DC089F" w14:textId="77777777" w:rsidR="003E18F4" w:rsidRPr="003E18F4" w:rsidRDefault="00DD5BFB" w:rsidP="003E18F4">
      <w:pPr>
        <w:rPr>
          <w:sz w:val="20"/>
          <w:szCs w:val="20"/>
          <w:lang w:val="de-DE" w:eastAsia="lv-LV"/>
        </w:rPr>
      </w:pPr>
      <w:hyperlink r:id="rId11" w:history="1">
        <w:r w:rsidR="003350B9" w:rsidRPr="003E18F4">
          <w:rPr>
            <w:color w:val="0000FF"/>
            <w:sz w:val="20"/>
            <w:szCs w:val="20"/>
            <w:u w:val="single"/>
            <w:lang w:val="de-DE" w:eastAsia="lv-LV"/>
          </w:rPr>
          <w:t>Dace.Trusinska@lrp.gov.lv</w:t>
        </w:r>
      </w:hyperlink>
    </w:p>
    <w:p w14:paraId="2B437695" w14:textId="77777777" w:rsidR="003E18F4" w:rsidRPr="003E18F4" w:rsidRDefault="00DD5BFB" w:rsidP="003E18F4">
      <w:pPr>
        <w:rPr>
          <w:sz w:val="20"/>
          <w:szCs w:val="20"/>
          <w:lang w:val="de-DE" w:eastAsia="lv-LV"/>
        </w:rPr>
      </w:pPr>
    </w:p>
    <w:p w14:paraId="5628FC28" w14:textId="77777777" w:rsidR="003E18F4" w:rsidRPr="003E18F4" w:rsidRDefault="003350B9" w:rsidP="003E18F4">
      <w:pPr>
        <w:contextualSpacing/>
        <w:jc w:val="both"/>
        <w:rPr>
          <w:bCs/>
          <w:sz w:val="20"/>
          <w:szCs w:val="20"/>
          <w:lang w:eastAsia="lv-LV"/>
        </w:rPr>
      </w:pPr>
      <w:proofErr w:type="spellStart"/>
      <w:r w:rsidRPr="003E18F4">
        <w:rPr>
          <w:sz w:val="20"/>
          <w:szCs w:val="20"/>
          <w:lang w:val="de-DE" w:eastAsia="lv-LV"/>
        </w:rPr>
        <w:t>E.Šiba</w:t>
      </w:r>
      <w:proofErr w:type="spellEnd"/>
      <w:r w:rsidRPr="003E18F4">
        <w:rPr>
          <w:sz w:val="20"/>
          <w:szCs w:val="20"/>
          <w:lang w:val="de-DE" w:eastAsia="lv-LV"/>
        </w:rPr>
        <w:t xml:space="preserve"> </w:t>
      </w:r>
      <w:r w:rsidRPr="003E18F4">
        <w:rPr>
          <w:bCs/>
          <w:sz w:val="20"/>
          <w:szCs w:val="20"/>
          <w:lang w:eastAsia="lv-LV"/>
        </w:rPr>
        <w:t>67044833</w:t>
      </w:r>
    </w:p>
    <w:p w14:paraId="7D5E760D" w14:textId="77777777" w:rsidR="003E18F4" w:rsidRPr="003E18F4" w:rsidRDefault="00DD5BFB" w:rsidP="003E18F4">
      <w:pPr>
        <w:contextualSpacing/>
        <w:jc w:val="both"/>
        <w:rPr>
          <w:bCs/>
          <w:sz w:val="20"/>
          <w:szCs w:val="20"/>
          <w:lang w:eastAsia="lv-LV"/>
        </w:rPr>
      </w:pPr>
      <w:hyperlink r:id="rId12" w:history="1">
        <w:r w:rsidR="003350B9" w:rsidRPr="003E18F4">
          <w:rPr>
            <w:bCs/>
            <w:color w:val="0000FF"/>
            <w:sz w:val="20"/>
            <w:szCs w:val="20"/>
            <w:u w:val="single"/>
            <w:lang w:eastAsia="lv-LV"/>
          </w:rPr>
          <w:t>Evita.Siba@lrp.gov.lv</w:t>
        </w:r>
      </w:hyperlink>
    </w:p>
    <w:tbl>
      <w:tblPr>
        <w:tblW w:w="0" w:type="auto"/>
        <w:tblLook w:val="04A0" w:firstRow="1" w:lastRow="0" w:firstColumn="1" w:lastColumn="0" w:noHBand="0" w:noVBand="1"/>
      </w:tblPr>
      <w:tblGrid>
        <w:gridCol w:w="6228"/>
        <w:gridCol w:w="3240"/>
      </w:tblGrid>
      <w:tr w:rsidR="00ED145A" w14:paraId="401C190D" w14:textId="77777777" w:rsidTr="003E18F4">
        <w:tc>
          <w:tcPr>
            <w:tcW w:w="6228" w:type="dxa"/>
            <w:tcBorders>
              <w:top w:val="nil"/>
              <w:left w:val="nil"/>
              <w:bottom w:val="nil"/>
              <w:right w:val="nil"/>
            </w:tcBorders>
          </w:tcPr>
          <w:p w14:paraId="2BE3C3AA" w14:textId="77777777" w:rsidR="00C64B92" w:rsidRPr="00882A22" w:rsidRDefault="00DD5BFB" w:rsidP="00914657">
            <w:pPr>
              <w:spacing w:line="276" w:lineRule="auto"/>
            </w:pPr>
          </w:p>
        </w:tc>
        <w:tc>
          <w:tcPr>
            <w:tcW w:w="3240" w:type="dxa"/>
            <w:tcBorders>
              <w:top w:val="nil"/>
              <w:left w:val="nil"/>
              <w:bottom w:val="nil"/>
              <w:right w:val="nil"/>
            </w:tcBorders>
          </w:tcPr>
          <w:p w14:paraId="5BD61CCF" w14:textId="77777777" w:rsidR="00C64B92" w:rsidRPr="00882A22" w:rsidRDefault="00DD5BFB" w:rsidP="00914657">
            <w:pPr>
              <w:spacing w:line="276" w:lineRule="auto"/>
              <w:jc w:val="right"/>
            </w:pPr>
          </w:p>
        </w:tc>
      </w:tr>
    </w:tbl>
    <w:p w14:paraId="10F9D820" w14:textId="77777777" w:rsidR="00C64B92" w:rsidRPr="00882A22" w:rsidRDefault="003350B9" w:rsidP="00C64B92">
      <w:pPr>
        <w:spacing w:before="240" w:line="276" w:lineRule="auto"/>
        <w:jc w:val="center"/>
        <w:rPr>
          <w:sz w:val="26"/>
          <w:szCs w:val="26"/>
        </w:rPr>
      </w:pPr>
      <w:r w:rsidRPr="00882A22">
        <w:rPr>
          <w:sz w:val="26"/>
          <w:szCs w:val="26"/>
        </w:rPr>
        <w:t>DOKUMENTS IR PARAKSTĪTS AR DROŠU ELEKTRONISKO PARAKSTU</w:t>
      </w:r>
    </w:p>
    <w:p w14:paraId="5BE4F347" w14:textId="77777777" w:rsidR="00452403" w:rsidRPr="00882A22" w:rsidRDefault="003350B9" w:rsidP="00FA34CB">
      <w:pPr>
        <w:spacing w:after="240" w:line="276" w:lineRule="auto"/>
        <w:jc w:val="center"/>
        <w:rPr>
          <w:sz w:val="26"/>
          <w:szCs w:val="26"/>
        </w:rPr>
      </w:pPr>
      <w:r w:rsidRPr="00882A22">
        <w:rPr>
          <w:sz w:val="26"/>
          <w:szCs w:val="26"/>
        </w:rPr>
        <w:t>UN SATUR LAIKA ZĪMOGU</w:t>
      </w:r>
    </w:p>
    <w:sectPr w:rsidR="00452403" w:rsidRPr="00882A22" w:rsidSect="00452403">
      <w:headerReference w:type="even" r:id="rId13"/>
      <w:headerReference w:type="default" r:id="rId14"/>
      <w:footerReference w:type="default" r:id="rId15"/>
      <w:footerReference w:type="first" r:id="rId16"/>
      <w:pgSz w:w="11906" w:h="16838"/>
      <w:pgMar w:top="853" w:right="567" w:bottom="1440"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mitrijs Vegneris" w:date="2021-09-22T10:53:00Z" w:initials="DV">
    <w:p w14:paraId="53E858EC" w14:textId="77777777" w:rsidR="00415387" w:rsidRDefault="00415387">
      <w:pPr>
        <w:pStyle w:val="Komentrateksts"/>
      </w:pPr>
      <w:r>
        <w:rPr>
          <w:rStyle w:val="Komentraatsauce"/>
        </w:rPr>
        <w:annotationRef/>
      </w:r>
      <w:r>
        <w:t>Ņemts vērā.</w:t>
      </w:r>
      <w:bookmarkStart w:id="2" w:name="_GoBack"/>
      <w:bookmarkEnd w:id="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E858E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3B12F" w14:textId="77777777" w:rsidR="003350B9" w:rsidRDefault="003350B9">
      <w:r>
        <w:separator/>
      </w:r>
    </w:p>
  </w:endnote>
  <w:endnote w:type="continuationSeparator" w:id="0">
    <w:p w14:paraId="66DAC48A" w14:textId="77777777" w:rsidR="003350B9" w:rsidRDefault="0033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423022"/>
      <w:docPartObj>
        <w:docPartGallery w:val="Page Numbers (Bottom of Page)"/>
        <w:docPartUnique/>
      </w:docPartObj>
    </w:sdtPr>
    <w:sdtEndPr/>
    <w:sdtContent>
      <w:p w14:paraId="1525E585" w14:textId="6DB6C7DA" w:rsidR="00452403" w:rsidRDefault="003350B9">
        <w:pPr>
          <w:pStyle w:val="Kjene"/>
          <w:jc w:val="center"/>
        </w:pPr>
        <w:r>
          <w:fldChar w:fldCharType="begin"/>
        </w:r>
        <w:r>
          <w:instrText>PAGE   \* MERGEFORMAT</w:instrText>
        </w:r>
        <w:r>
          <w:fldChar w:fldCharType="separate"/>
        </w:r>
        <w:r w:rsidR="00DD5BFB">
          <w:rPr>
            <w:noProof/>
          </w:rPr>
          <w:t>2</w:t>
        </w:r>
        <w:r>
          <w:fldChar w:fldCharType="end"/>
        </w:r>
      </w:p>
    </w:sdtContent>
  </w:sdt>
  <w:p w14:paraId="69E2E273" w14:textId="77777777" w:rsidR="00452403" w:rsidRDefault="00DD5BFB">
    <w:pPr>
      <w:pStyle w:val="Kjene"/>
    </w:pPr>
  </w:p>
  <w:p w14:paraId="401657E4" w14:textId="77777777" w:rsidR="00ED145A" w:rsidRDefault="003350B9">
    <w:r>
      <w:t>Elektroniski parakstītā dokumenta Nr.: 000005AY1304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25A19" w14:textId="77777777" w:rsidR="00ED145A" w:rsidRDefault="003350B9">
    <w:r>
      <w:t>Elektroniski parakstītā dokumenta Nr.: 000005AY1304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30C34" w14:textId="77777777" w:rsidR="003350B9" w:rsidRDefault="003350B9">
      <w:r>
        <w:separator/>
      </w:r>
    </w:p>
  </w:footnote>
  <w:footnote w:type="continuationSeparator" w:id="0">
    <w:p w14:paraId="347DB145" w14:textId="77777777" w:rsidR="003350B9" w:rsidRDefault="00335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20AFA" w14:textId="77777777" w:rsidR="007D0DF3" w:rsidRDefault="003350B9" w:rsidP="00142D3C">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EDBFE33" w14:textId="77777777" w:rsidR="007D0DF3" w:rsidRDefault="00DD5BFB" w:rsidP="00142D3C">
    <w:pPr>
      <w:pStyle w:val="Galvene"/>
      <w:ind w:right="360"/>
    </w:pPr>
  </w:p>
  <w:p w14:paraId="18B3BB3A" w14:textId="77777777" w:rsidR="00830595" w:rsidRDefault="00DD5BF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6AA05" w14:textId="77777777" w:rsidR="007D0DF3" w:rsidRDefault="00DD5BFB" w:rsidP="00142D3C">
    <w:pPr>
      <w:pStyle w:val="Galvene"/>
      <w:ind w:right="360"/>
    </w:pPr>
  </w:p>
  <w:p w14:paraId="723548B2" w14:textId="77777777" w:rsidR="00830595" w:rsidRDefault="00DD5BF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545F4"/>
    <w:multiLevelType w:val="hybridMultilevel"/>
    <w:tmpl w:val="B600CB5E"/>
    <w:lvl w:ilvl="0" w:tplc="756E8146">
      <w:start w:val="1"/>
      <w:numFmt w:val="bullet"/>
      <w:lvlText w:val=""/>
      <w:lvlJc w:val="left"/>
      <w:pPr>
        <w:ind w:left="720" w:hanging="360"/>
      </w:pPr>
      <w:rPr>
        <w:rFonts w:ascii="Symbol" w:hAnsi="Symbol" w:hint="default"/>
      </w:rPr>
    </w:lvl>
    <w:lvl w:ilvl="1" w:tplc="DDEC3792" w:tentative="1">
      <w:start w:val="1"/>
      <w:numFmt w:val="bullet"/>
      <w:lvlText w:val="o"/>
      <w:lvlJc w:val="left"/>
      <w:pPr>
        <w:ind w:left="1440" w:hanging="360"/>
      </w:pPr>
      <w:rPr>
        <w:rFonts w:ascii="Courier New" w:hAnsi="Courier New" w:cs="Courier New" w:hint="default"/>
      </w:rPr>
    </w:lvl>
    <w:lvl w:ilvl="2" w:tplc="4AB0A87A" w:tentative="1">
      <w:start w:val="1"/>
      <w:numFmt w:val="bullet"/>
      <w:lvlText w:val=""/>
      <w:lvlJc w:val="left"/>
      <w:pPr>
        <w:ind w:left="2160" w:hanging="360"/>
      </w:pPr>
      <w:rPr>
        <w:rFonts w:ascii="Wingdings" w:hAnsi="Wingdings" w:hint="default"/>
      </w:rPr>
    </w:lvl>
    <w:lvl w:ilvl="3" w:tplc="E7C636A8" w:tentative="1">
      <w:start w:val="1"/>
      <w:numFmt w:val="bullet"/>
      <w:lvlText w:val=""/>
      <w:lvlJc w:val="left"/>
      <w:pPr>
        <w:ind w:left="2880" w:hanging="360"/>
      </w:pPr>
      <w:rPr>
        <w:rFonts w:ascii="Symbol" w:hAnsi="Symbol" w:hint="default"/>
      </w:rPr>
    </w:lvl>
    <w:lvl w:ilvl="4" w:tplc="430A36D0" w:tentative="1">
      <w:start w:val="1"/>
      <w:numFmt w:val="bullet"/>
      <w:lvlText w:val="o"/>
      <w:lvlJc w:val="left"/>
      <w:pPr>
        <w:ind w:left="3600" w:hanging="360"/>
      </w:pPr>
      <w:rPr>
        <w:rFonts w:ascii="Courier New" w:hAnsi="Courier New" w:cs="Courier New" w:hint="default"/>
      </w:rPr>
    </w:lvl>
    <w:lvl w:ilvl="5" w:tplc="59662184" w:tentative="1">
      <w:start w:val="1"/>
      <w:numFmt w:val="bullet"/>
      <w:lvlText w:val=""/>
      <w:lvlJc w:val="left"/>
      <w:pPr>
        <w:ind w:left="4320" w:hanging="360"/>
      </w:pPr>
      <w:rPr>
        <w:rFonts w:ascii="Wingdings" w:hAnsi="Wingdings" w:hint="default"/>
      </w:rPr>
    </w:lvl>
    <w:lvl w:ilvl="6" w:tplc="3B86F1EC" w:tentative="1">
      <w:start w:val="1"/>
      <w:numFmt w:val="bullet"/>
      <w:lvlText w:val=""/>
      <w:lvlJc w:val="left"/>
      <w:pPr>
        <w:ind w:left="5040" w:hanging="360"/>
      </w:pPr>
      <w:rPr>
        <w:rFonts w:ascii="Symbol" w:hAnsi="Symbol" w:hint="default"/>
      </w:rPr>
    </w:lvl>
    <w:lvl w:ilvl="7" w:tplc="B5645E58" w:tentative="1">
      <w:start w:val="1"/>
      <w:numFmt w:val="bullet"/>
      <w:lvlText w:val="o"/>
      <w:lvlJc w:val="left"/>
      <w:pPr>
        <w:ind w:left="5760" w:hanging="360"/>
      </w:pPr>
      <w:rPr>
        <w:rFonts w:ascii="Courier New" w:hAnsi="Courier New" w:cs="Courier New" w:hint="default"/>
      </w:rPr>
    </w:lvl>
    <w:lvl w:ilvl="8" w:tplc="BE7ACFD4"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mitrijs Vegneris">
    <w15:presenceInfo w15:providerId="AD" w15:userId="S-1-5-21-4111485455-1704665536-1451507621-167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5A"/>
    <w:rsid w:val="003350B9"/>
    <w:rsid w:val="00415387"/>
    <w:rsid w:val="00DD5BFB"/>
    <w:rsid w:val="00ED145A"/>
    <w:rsid w:val="00F86E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8306"/>
  <w15:docId w15:val="{FCE7E7AF-4C62-46D0-87D1-66579E5A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sz w:val="24"/>
      <w:szCs w:val="24"/>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kstszemobjekta">
    <w:name w:val="caption"/>
    <w:basedOn w:val="Parasts"/>
    <w:next w:val="Parasts"/>
    <w:qFormat/>
    <w:pPr>
      <w:jc w:val="center"/>
    </w:pPr>
    <w:rPr>
      <w:sz w:val="40"/>
      <w:szCs w:val="40"/>
    </w:rPr>
  </w:style>
  <w:style w:type="paragraph" w:styleId="Galvene">
    <w:name w:val="header"/>
    <w:basedOn w:val="Parasts"/>
    <w:rsid w:val="00D26FB3"/>
    <w:pPr>
      <w:tabs>
        <w:tab w:val="center" w:pos="4153"/>
        <w:tab w:val="right" w:pos="8306"/>
      </w:tabs>
    </w:pPr>
  </w:style>
  <w:style w:type="paragraph" w:styleId="Kjene">
    <w:name w:val="footer"/>
    <w:basedOn w:val="Parasts"/>
    <w:link w:val="KjeneRakstz"/>
    <w:uiPriority w:val="99"/>
    <w:rsid w:val="00D26FB3"/>
    <w:pPr>
      <w:tabs>
        <w:tab w:val="center" w:pos="4153"/>
        <w:tab w:val="right" w:pos="8306"/>
      </w:tabs>
    </w:pPr>
  </w:style>
  <w:style w:type="character" w:styleId="Lappusesnumurs">
    <w:name w:val="page number"/>
    <w:basedOn w:val="Noklusjumarindkopasfonts"/>
    <w:rsid w:val="00D26FB3"/>
  </w:style>
  <w:style w:type="paragraph" w:styleId="Balonteksts">
    <w:name w:val="Balloon Text"/>
    <w:basedOn w:val="Parasts"/>
    <w:semiHidden/>
    <w:rsid w:val="00911845"/>
    <w:rPr>
      <w:rFonts w:ascii="Tahoma" w:hAnsi="Tahoma" w:cs="Tahoma"/>
      <w:sz w:val="16"/>
      <w:szCs w:val="16"/>
    </w:rPr>
  </w:style>
  <w:style w:type="table" w:styleId="Reatabula">
    <w:name w:val="Table Grid"/>
    <w:basedOn w:val="Parastatabula"/>
    <w:rsid w:val="008E3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jeneRakstz">
    <w:name w:val="Kājene Rakstz."/>
    <w:basedOn w:val="Noklusjumarindkopasfonts"/>
    <w:link w:val="Kjene"/>
    <w:uiPriority w:val="99"/>
    <w:rsid w:val="00452403"/>
    <w:rPr>
      <w:sz w:val="24"/>
      <w:szCs w:val="24"/>
      <w:lang w:val="en-US" w:eastAsia="en-US"/>
    </w:rPr>
  </w:style>
  <w:style w:type="paragraph" w:customStyle="1" w:styleId="Style3">
    <w:name w:val="Style3"/>
    <w:basedOn w:val="Parasts"/>
    <w:link w:val="Style3Char"/>
    <w:rsid w:val="001C762B"/>
    <w:pPr>
      <w:jc w:val="both"/>
    </w:pPr>
  </w:style>
  <w:style w:type="character" w:customStyle="1" w:styleId="Style3Char">
    <w:name w:val="Style3 Char"/>
    <w:basedOn w:val="Noklusjumarindkopasfonts"/>
    <w:link w:val="Style3"/>
    <w:rsid w:val="001C762B"/>
    <w:rPr>
      <w:sz w:val="24"/>
      <w:szCs w:val="24"/>
      <w:lang w:eastAsia="en-US"/>
    </w:rPr>
  </w:style>
  <w:style w:type="character" w:styleId="Komentraatsauce">
    <w:name w:val="annotation reference"/>
    <w:basedOn w:val="Noklusjumarindkopasfonts"/>
    <w:semiHidden/>
    <w:unhideWhenUsed/>
    <w:rsid w:val="00415387"/>
    <w:rPr>
      <w:sz w:val="16"/>
      <w:szCs w:val="16"/>
    </w:rPr>
  </w:style>
  <w:style w:type="paragraph" w:styleId="Komentrateksts">
    <w:name w:val="annotation text"/>
    <w:basedOn w:val="Parasts"/>
    <w:link w:val="KomentratekstsRakstz"/>
    <w:semiHidden/>
    <w:unhideWhenUsed/>
    <w:rsid w:val="00415387"/>
    <w:rPr>
      <w:sz w:val="20"/>
      <w:szCs w:val="20"/>
    </w:rPr>
  </w:style>
  <w:style w:type="character" w:customStyle="1" w:styleId="KomentratekstsRakstz">
    <w:name w:val="Komentāra teksts Rakstz."/>
    <w:basedOn w:val="Noklusjumarindkopasfonts"/>
    <w:link w:val="Komentrateksts"/>
    <w:semiHidden/>
    <w:rsid w:val="00415387"/>
    <w:rPr>
      <w:lang w:eastAsia="en-US"/>
    </w:rPr>
  </w:style>
  <w:style w:type="paragraph" w:styleId="Komentratma">
    <w:name w:val="annotation subject"/>
    <w:basedOn w:val="Komentrateksts"/>
    <w:next w:val="Komentrateksts"/>
    <w:link w:val="KomentratmaRakstz"/>
    <w:semiHidden/>
    <w:unhideWhenUsed/>
    <w:rsid w:val="00415387"/>
    <w:rPr>
      <w:b/>
      <w:bCs/>
    </w:rPr>
  </w:style>
  <w:style w:type="character" w:customStyle="1" w:styleId="KomentratmaRakstz">
    <w:name w:val="Komentāra tēma Rakstz."/>
    <w:basedOn w:val="KomentratekstsRakstz"/>
    <w:link w:val="Komentratma"/>
    <w:semiHidden/>
    <w:rsid w:val="0041538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ita.Siba@lrp.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e.Trusinska@lrp.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42BAA-52D0-4213-8B82-009F2F3BD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3049</Words>
  <Characters>1739</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A/S DATI</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Valts Grigāns</dc:creator>
  <cp:lastModifiedBy>Dmitrijs Vegneris</cp:lastModifiedBy>
  <cp:revision>2</cp:revision>
  <cp:lastPrinted>2008-02-21T10:46:00Z</cp:lastPrinted>
  <dcterms:created xsi:type="dcterms:W3CDTF">2021-09-22T07:53:00Z</dcterms:created>
  <dcterms:modified xsi:type="dcterms:W3CDTF">2021-09-22T07:53:00Z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ATS#">
    <vt:lpwstr>IEKŠLIETU MINISTRIJA (IeM)
Valsts policija
 Dmitrijs Vegneris</vt:lpwstr>
  </property>
  <property fmtid="{D5CDD505-2E9C-101B-9397-08002B2CF9AE}" pid="3" name="#ANOTACIJA#">
    <vt:lpwstr>Atzinums par MK noteikumiem "Kriminālizlūkošanas atbalsta informācijas sistēmas noteikumi" (VSS--353)</vt:lpwstr>
  </property>
  <property fmtid="{D5CDD505-2E9C-101B-9397-08002B2CF9AE}" pid="4" name="#ATB_DAT#">
    <vt:lpwstr>28.04.2021.</vt:lpwstr>
  </property>
  <property fmtid="{D5CDD505-2E9C-101B-9397-08002B2CF9AE}" pid="5" name="#ATB_NR#">
    <vt:lpwstr>N-106-2021-00233</vt:lpwstr>
  </property>
  <property fmtid="{D5CDD505-2E9C-101B-9397-08002B2CF9AE}" pid="6" name="#DOC_DAT#">
    <vt:lpwstr>10.05.2021.</vt:lpwstr>
  </property>
  <property fmtid="{D5CDD505-2E9C-101B-9397-08002B2CF9AE}" pid="7" name="#DOC_NR#">
    <vt:lpwstr>N-120-2021-00127</vt:lpwstr>
  </property>
  <property fmtid="{D5CDD505-2E9C-101B-9397-08002B2CF9AE}" pid="8" name="#EXEC_OBJECT_NR#">
    <vt:lpwstr/>
  </property>
  <property fmtid="{D5CDD505-2E9C-101B-9397-08002B2CF9AE}" pid="9" name="#EXEC_OBJECT_SHORT_NR#">
    <vt:lpwstr/>
  </property>
  <property fmtid="{D5CDD505-2E9C-101B-9397-08002B2CF9AE}" pid="10" name="#PARAKST_AMATS#">
    <vt:lpwstr>Virsprokurors</vt:lpwstr>
  </property>
  <property fmtid="{D5CDD505-2E9C-101B-9397-08002B2CF9AE}" pid="11" name="#PARAKST_V_UZV#">
    <vt:lpwstr>A.Ostapko</vt:lpwstr>
  </property>
  <property fmtid="{D5CDD505-2E9C-101B-9397-08002B2CF9AE}" pid="12" name="#SAG_TALR#">
    <vt:lpwstr>67044881</vt:lpwstr>
  </property>
  <property fmtid="{D5CDD505-2E9C-101B-9397-08002B2CF9AE}" pid="13" name="#SAG_UZV#">
    <vt:lpwstr>Trušinska</vt:lpwstr>
  </property>
  <property fmtid="{D5CDD505-2E9C-101B-9397-08002B2CF9AE}" pid="14" name="#STRUKT_FAX#">
    <vt:lpwstr/>
  </property>
  <property fmtid="{D5CDD505-2E9C-101B-9397-08002B2CF9AE}" pid="15" name="#STRUKT_TALR#">
    <vt:lpwstr>67044447</vt:lpwstr>
  </property>
  <property fmtid="{D5CDD505-2E9C-101B-9397-08002B2CF9AE}" pid="16" name="#STR_ADRESE#">
    <vt:lpwstr>Kalpaka bulvāris 6, Rīga, LV-1050</vt:lpwstr>
  </property>
  <property fmtid="{D5CDD505-2E9C-101B-9397-08002B2CF9AE}" pid="17" name="#STR_EPASTS#">
    <vt:lpwstr>PFIKN@lrp.gov.lv</vt:lpwstr>
  </property>
  <property fmtid="{D5CDD505-2E9C-101B-9397-08002B2CF9AE}" pid="18" name="#STR_NOS#">
    <vt:lpwstr>Prokuratūras funkciju īstenošanas koordinācijas nodaļa</vt:lpwstr>
  </property>
  <property fmtid="{D5CDD505-2E9C-101B-9397-08002B2CF9AE}" pid="19" name="#STR_REG_NR#">
    <vt:lpwstr>Reģistrācijas Nr. , </vt:lpwstr>
  </property>
</Properties>
</file>