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piešķiršanas kārtība par 2023. gadā vētras radītajiem zaudējumiem augkopības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publicē informāciju par piešķirto atbalstu atbilstoši regulai </w:t>
            </w:r>
            <w:r w:rsidR="00000000" w:rsidRPr="00000000" w:rsidDel="00000000">
              <w:rPr>
                <w:rtl w:val="0"/>
              </w:rPr>
              <w:t xml:space="preserve">2022/2472</w:t>
            </w:r>
            <w:r w:rsidR="00000000" w:rsidRPr="00000000" w:rsidDel="00000000">
              <w:rPr>
                <w:rtl w:val="0"/>
              </w:rPr>
              <w:t xml:space="preserve">, ievērojot minētās regulas 9. panta 1. punkta "c" apakšpunktu un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projektu un veikt tajā visus nepieciešamos precizējumus, ņemot vērā, ka saskaņā ar Līguma par Eiropas Savienības darbību 288.panta otro daļu „regulas ir vispārpiemērojamas. Tās uzliek saistības kopumā un ir tieši piemērojamas visās dalībvalstīs.” Regulas automātiski kļūst par nacionālās tiesību sistēmas sastāvdaļu, bet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10.3. apakšpunktā ietverta prasība ievērot tikai regulas 2022/2472 9. panta 1. punkta "c" apakšpunktu, lai gan no pašas regulas izriet nepieciešamība publicēt arī tās 9. panta 1. punkta "a" un "b" apakšpunktos noteikto informāciju. Attiecīgi noteikumu projektā ir nekorekti noteikt nepieciešamību ievērot tikai vienu no regulas 2022/2472 9. panta 1. punkta apakšpunktiem, jo šāds regulējums nebūs atbilstīgs regulā 2022/2472 noteiktajam. Minēto iesakām izvērtēt arī attiecībā uz regulas 2022/2472 9.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(turpmāk – ZM) izvērtēja noteikumu projektu un izdarīja nepieciešamos precizējumus, ņemot vērā Tieslietu ministrijas (turpmāk – TM) norādi par regulu vispārpiemērotību.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TM norāda,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Tādējādi ir jānosaka kompetentā iestāde – šajā gadījumā Lauku atbalsta dienests (turpmāk – LAD), kas publicēs informāciju saskaņā ar regulas 2022/2472 9. panta 1. punkta "c" apakšpunktu. Skaidrības nolūkā arī atbalsta pretendentam ir jāzina, ka LAD par viņu publicēs noteiktu informācijas apjomu (respektīvi, atbalsta saņēmējam ir jāzina, kuri regulas 2022/2472 panti tieši skars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2022/2472 9. panta 1. punkta "a" un "b" apakšpunktā noteikto informācijas publicēšanu nodrošinās ZM, un tas saskaņā ar TM norādi nav jāparedz tiesību aktā, jo regulu normas ir tieši piemērojamas.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publicē informāciju par piešķirto atbalstu atbilstoši regulai </w:t>
            </w:r>
            <w:r w:rsidR="00000000" w:rsidRPr="00000000" w:rsidDel="00000000">
              <w:rPr>
                <w:rtl w:val="0"/>
              </w:rPr>
              <w:t xml:space="preserve">2022/2472</w:t>
            </w:r>
            <w:r w:rsidR="00000000" w:rsidRPr="00000000" w:rsidDel="00000000">
              <w:rPr>
                <w:rtl w:val="0"/>
              </w:rPr>
              <w:t xml:space="preserve">, ievērojot minētās regulas 9. panta 1. punkta "c" apakšpunktu un 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3.sadaļā norādīts, ka atbalstu samazina par 50 %, ņemot vērā apdrošināšanas neesamību, kā arī sniegts piemērs, ka kartupeļiem aprēķinātais vidējais ieguldījumu apmērs sastāda 3501 euro/ha un krūmmellenēm - 6122 euro/ha, bet, ņemot vērā regulas 2022/2472 25. panta nosacījumus, atbalsta likme noteikta attiecīgi 2530 euro/ha un 4798 euro/ha, tomēr vēršam uzmanību, ka norādītās atbalsta likmes nav 50% mazākas nekā aprēķinātais ieguldījumu apmērs. Ņemot vērā minēto, lūdzam anotācijai pievienot pielikumu, kurā sniegts aprēķins, kā noteiktas noteikumu projekta pielikumā paredzētās atbalsta likmes un kā tiek ievērots nosacījums par atbalsta samazināšanu par 50 %, ņemot vērā apdrošināšanas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 atbalstu likmju aprēķina arī skaidrot, kāpēc atbalsta likmes augļiem, ogām, ilggadīgiem stādījumiem atšķiras no likmēm, kas noteiktas Ministru kabineta 2023.gada 7.novembra noteikumu Nr.641 “Eiropas Savienības ārkārtas atbalsta piešķiršanas noteikumi lauksaimniekiem augļu un ogu, piena un gaļas liellopu, aitu, kazu un zirgu audzēšanas nozarē”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kā arī anotācijas 1.3. un 3. sadaļā pievienota skaidrojoša informācija par atbalsta likmes noteikšanu, ievērojot regulas 2022/2472 25. panta 7.-11. punkta nosacījumus. Anotācijas pielikums papildināts ar LLKC aprēķiniem, ietverot informāciju par sākotnējo aprēķināto ieguldījuma apmēru, kā arī ar papildu aprēķiniem, lai nodrošinātu to, ka noteiktais ieguldījuma apmērs nepārsniedz atļauto finansējumu saskaņā ar regulas 2022/2472 25.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sniegts skaidrojums anotācijas 1.3. sadaļā par to, kāpēc atbalsta likmes par augļiem, ogām, ilggadīgiem stādījumiem atšķiras no likmēm, kas noteiktas Ministru kabineta 2023. gada 7. novembra noteikumu Nr. 641 “Eiropas Savienības ārkārtas atbalsta piešķiršanas noteikumi lauksaimniekiem augļu un ogu, piena un gaļas liellopu, aitu, kazu un zirgu audzēšanas nozarē”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pie informācijas par rīkojuma projektu "Par finanšu līdzekļu piešķiršanu no valsts budžeta programmas "Līdzekļi neparedzētiem gadījumiem" norādīt attiecīgās tiesību aktu lietas Nr., kā arī precizēt mērķi, vārdus “lauksaimnieku zaudējumu segšanai” aizstājot ar vārdiem “lai kompensētu izdevumus, kas saistīti ar 2023. gada 7. augustā vētras laikā radīto postījumu novēršanu lauksaimniekiem”.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precizējumi anotācijas 3. sadaļas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 sadaļā norādīt arī informāciju par tiesību aktu lietu Nr.24-TA-477 “Par finanšu līdzekļu piešķiršanu no valsts budžeta programmas "Līdzekļi neparedzētiem gadījumiem"”, ņemot vērā, ka ar to tiek pieprasīts finansējums noteikumu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sadaļā pievienota informācija par tiesību aktu lietu Nr. 24-TA-477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papildināt to, nodrošinot pilnīgu informāciju par noteikumu projekta atbilstību Eiropas Savienības tiesību aktiem un to ieviešanu. Vēršam uzmanību, ka atbilstoši noteikumu projekta 12. un 13. punktam arī ar tiem ir ieviesta Komisijas 2022. gada 14. decembra Regula (ES) 2022/2472, ar kuru, piemērojot Līguma par Eiropas Savienības darbību 107. un 108. pantu, dažu kategoriju atbalstu lauksaimniecības un mežsaimniecības nozarē un lauku apvidos atzīst par saderīgu ar iekšējo tirgu (turpmāk -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12. un 13. punktā ir vispārīgas atsauces uz regulām, tāpēc iesakām izvērtēt, vai tiešām ar noteikumu projekta 12. un 13. punktu tiek ieviesta visa regula vai arī ir iespējams norādīt atsauci uz konkrētām regulas normām. Ņemot vērā noteikumu projekta redakciju, šķietami ir domātas konkrētas Regulas 2022/2472 vienības, līdz ar to lūdzam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anotācijas 5. sadaļas rindu par dalībvalsts rīcības brīvību, tajā norādot konkrētas tiesību normas, no kurām izrietošā rīcības brīvība tiek izmantota, kā tā ir izmantota un kādēļ. Pašreizējais skaidrojums ir vispārīgs, nekonkrēts un nenodrošina tiesību normu piemērotājam korektu izpratni par dalībvalsts rīcības brīvību izmantošanu. Vienlaikus vēršam uzmanību uz Regulas 2022/2472 25. panta 3. punktu, pamatojoties uz kurā paredzēto rīcības brīvību dalībvalstis "</w:t>
            </w:r>
            <w:r w:rsidR="00000000" w:rsidRPr="00000000" w:rsidDel="00000000">
              <w:rPr>
                <w:i w:val="1"/>
                <w:rtl w:val="0"/>
              </w:rPr>
              <w:t xml:space="preserve">var iepriekš noteikt kritērijus, uz kuru pamata var uzskatīt, ka 2. punkta a) apakšpunktā minētā oficiālā atzīšana ir piešķirta</w:t>
            </w:r>
            <w:r w:rsidR="00000000" w:rsidRPr="00000000" w:rsidDel="00000000">
              <w:rPr>
                <w:rtl w:val="0"/>
              </w:rPr>
              <w:t xml:space="preserve">". Ņemot vērā anotācijas 5.4. apakšsadaļas 1. tabulā sniegto informāciju, Regulas 2022/2472 25. pants ir ieviests pilnībā, līdz ar to nepieciešams paredzēt arī skaidrojumu par izrietošās rīcības brīvības izmantošanu/neizmantošanu.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precizēts atbilstoši iebildumam, kā arī precizēta anotācijas 5. sadaļas rinda par dalībvalsts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5. septembra sēdē tika izskatīts Vides aizsardzības un reģionālās attīstības ministrijas sadarbībā ar Zemkopības ministriju un Ekonomikas ministriju sagatavotais informatīvais ziņojums “Aktuālā situācija par 2023. gada 7. augusta vētras radītājiem zaudējumiem pašvaldībās” (tiesību akta lietas Nr. 23-TA-2184), kurā iekļauta informācija par vētras radītājiem zaudējumiem lauksaimniekiem. Informatīvais ziņojums tika pieņemts zināšanai (Ministru kabineta 05.09.2023.sēdes protokola Nr. 43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ziņotu par cietušajām platībām un konstatētajiem zaudējumiem, lauksaimnieki no 2023. gada 11. līdz 25. augustam LAD iesūtīja attēlus un aprakstus par bojāto lauksaimniecības tehniku, infrastruktūru un cietušajiem sējumiem, attiecīgi norādot kultūru un tās platību hektāros. Pēc iegūtajiem datiem var secināt, ka starp dabas katastrofai pielīdzināmiem nelabvēlīgiem klimatiskajiem apstākļiem un lauksaimniekiem nodarīto kaitējumu pastāv tieša cēloņsakarība.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2022/2472 paredz gadījumus, kad var piešķirt valsts atbalstu lauksaimniekiem. Latvija, ņemot vērā 2023.gada 7. augusta negaisa un krusas nodarītos postījumus noteiktiem kultūraugiem, nolēma paredzēt atbalstu, pamatojoties uz regulas 2022/2472 25. pantu, lai atlīdzinātu dabas katastrofai pielīdzināmu nelabvēlīgu klimatisko apstākļu nodarītu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13. punktu jāpiebilst, ka nelikumīga valsts atbalsta atgūšana paredzēta tikai tad, ja pārkāptas valsts atbalsta jeb regulas 2022/2472 normas. Arī līdz šim visos valsts atbalsta noteikumos attiecībā uz nelikumīga valsts atbalsta atgūšanu ir sniegta atsauce uz visu regulu 2022/2472 kopumā. Nelikumīgs valsts atbalsts ir atgūstams no pirmā centa.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augļkopju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Augļkopju asociācija (LAA) nepiekrīt esošai noteikumu projekta “Valsts atbalsta piešķiršanas kārtība par 2023. gadā vētras radītajiem zaudējumiem augkopības nozarē”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norāda, ka noteikumu projekta anotācijā rakstītais: “Jāatzīmē, ka netika ņemti vērā tādi priekšlikumi, kā, piemēram, paredzēt atbalstu par nolauztu koku vai sabojātu siena rulli, jo noteikumu projekts paredz segt ieguldījumu apmēru negaisos cietušo kultūraugu platībās (euro/ha), nevis neiegūto ražu. LAD rīcībā nav detalizētas informācijas un pierādījumu par konkrētu nopostīto augļkoku vai siena ruļļu u.c. veida lopbarības apjomu un skaitu” neatbilst patiesībai, jo vairākas saimniecības noteiktajā kārtībā 2023. gadā Lauku atbalsta dienestam (LAD) iesniedza visu prasīto informāciju par nopostītajiem, bojātajiem stādījumiem. Tāpat LAA norāda, ka ir iespēja aprēķināt zaudējumus par katru koku, jo šādi aprēķini ir veikti Erwinia amylovora zaudējumu kompensācijai. Jāatzīmē, ka Erwinia amylovora zaudējumu kompensācijas aprēķini ir novecojuši un neatbilst reālai ekonomiskai situācijai, toties norāda, ka aprēķinus ir iespējams veikt par katru zaudēto koku. Koku zaudējums nav pielīdzināms sējumu zaudējumiem, jo atjaunojot stādījumus, koki neražo 3-5 gadi, tomēr ieguldījumus prasa vismaz tik pat cik jau ražojošie, pretēji sējumiem vai dārzeņiem, kas ir viengadīgās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jāskata pēc būtības – kādus zaudējumus lauksaimnieks ir cietis, kāda un cik ilga ietekme būs 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 zaudēto ražošanas pamatlīdzekli (cietušie, zaudētie koki (kā Erwinia amylovora gadījumā) un balstu sistēmas) ņemot vērā turpmākos ieguldījumus un zaudētos nākošos 3 līdz 5 ražas gadus līdz pirmajai komercražai.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netika ņemti vērā tādi priekšlikumi, kā, piemēram, paredzēt atbalstu par nolauztu koku vai sabojātu siena rulli, jo noteikumu projekts paredz segt ieguldījumu apmēru negaisos cietušo kultūraugu platībās (euro/ha), nevis neiegūto ražu. Tā kā 2023. gada 7. augusta vētras un krusas zaudējumi skāra dažādas augkopības nozares, ne tikai augļkopjus, tad LAD krusas postījumus fiksēja par laukiem, neņemot vērā nolauztus vai aplauztus koku.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saimniecības papildus norādīja izgāzto vai aplauzto koku skaitu, sabojāto siera ruļļu skaitu, sabojāto nokultās ražas tonnas, izsistos logus u.tml. Tādējādi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pielikumā ailē “Kopējā atbalsta summa, euro” norādītās summas, jo, reizinot norādīto atbalsta likmi ar norādīto hektāru daudzumu, lielākajā daļā pozīciju šobrīd norādītās summas neatbilst aprēķinam, attiecīgi arī šobrīd norādītas sadaļu kopsummas neatbilst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pārskatīt un precizēt anotācijas 3.sadaļas 6.2.apakšpunktā norādīto informāciju par kopējā atbalsta apmēru sadalījumā pa kultūraugu platību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aile “Kopējā atbalsta summa, euro”, un attiecīgi precizēta anotācijas 3. sadaļas 6.2. apakšpunktā sniegtā informācija par kopējā atbalsta apmēru sadalījumā pa kultūraugu platību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pieteiktos atbalstam, atbalsta pretendents 20 dienu laikā pēc šo noteikumu stāšanās spēkā iesniedz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7. punktā noteiktais atbalsta pieteikumu iesniegšanas termiņš ir pietiekams un potenciālie atbalsta saņēmēji spēs minētajā termiņā noreaģēt un iesniegt pieteikumus Lauku atbalsta dienestā, un nepieciešamības gadījumā precizēt noteikumu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apspriešanas laikā ar lauksaimnieku organizāciju pārstāvjiem tika pārrunāts arī pieteikumu iesniegšanas termiņš. Lauksaimnieku organizāciju pārstāvju vēlme ir saņemt atbalstu pēc iespējas agrāk. Kad noteikumu projekts stāsies spēkā, gan ZM, gan LAD, izmantojot plašsaziņas līdzekļus, informēs sabiedrību par iespēju pieteikties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7. punkts neparedz plašas un detalizētas informācijas sagatavošanu un iesniegšanu LAD.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pieteiktos atbalstam, atbalsta pretendents 20 dienu laikā pēc šo noteikumu stāšanās spēkā iesniedz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atbalsta pretendents par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I daļā minētajām platībām, kas pieteiktas dienestam saskaņā ar šo noteikumu </w:t>
            </w:r>
            <w:r w:rsidR="00000000" w:rsidRPr="00000000" w:rsidDel="00000000">
              <w:rPr>
                <w:rtl w:val="0"/>
              </w:rPr>
              <w:t xml:space="preserve">5.1. </w:t>
            </w:r>
            <w:r w:rsidR="00000000" w:rsidRPr="00000000" w:rsidDel="00000000">
              <w:rPr>
                <w:rtl w:val="0"/>
              </w:rPr>
              <w:t xml:space="preserve">apakšpunktu</w:t>
            </w:r>
            <w:r w:rsidR="00000000" w:rsidRPr="00000000" w:rsidDel="00000000">
              <w:rPr>
                <w:rtl w:val="0"/>
              </w:rPr>
              <w:t xml:space="preserve">, ir saņēmis atbalstu saskaņā ar </w:t>
            </w:r>
            <w:r w:rsidR="00000000" w:rsidRPr="00000000" w:rsidDel="00000000">
              <w:rPr>
                <w:rtl w:val="0"/>
              </w:rPr>
              <w:t xml:space="preserve">normatīvajiem aktiem</w:t>
            </w:r>
            <w:r w:rsidR="00000000" w:rsidRPr="00000000" w:rsidDel="00000000">
              <w:rPr>
                <w:rtl w:val="0"/>
              </w:rPr>
              <w:t xml:space="preserve"> par Eiropas Savienības ārkārtas atbalsta piešķiršanu lauksaimniekiem augļu un ogu, piena un gaļas liellopu, aitu, kazu un zirgu audzēšanas nozarē (turpmāk – ārkārtas atbalsts), atbalstu aprēķina tikai par to daļu, par kuru netika saņemts ārkārtas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9. punktā ietverto norādi uz to, ka pretendents pieteikumu iesniedzis "</w:t>
            </w:r>
            <w:r w:rsidR="00000000" w:rsidRPr="00000000" w:rsidDel="00000000">
              <w:rPr>
                <w:i w:val="1"/>
                <w:rtl w:val="0"/>
              </w:rPr>
              <w:t xml:space="preserve">saskaņā ar šo noteikumu 5.1. apakšpunktu</w:t>
            </w:r>
            <w:r w:rsidR="00000000" w:rsidRPr="00000000" w:rsidDel="00000000">
              <w:rPr>
                <w:rtl w:val="0"/>
              </w:rPr>
              <w:t xml:space="preserve">". Vēršam uzmanību, ka noteikumu projekts neparedz iespēju iesniegt pieteikumu tikai pamatojoties uz 5.1. apakšpunktu. Atbalstu, domājams, piešķir tiem pretendentiem, kas vienlaicīgi atbilst visiem trīs noteikumu projekta 5. punkta apakšpunktos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veikt vajadzīgos precizējumus un/vai sniegt papildus skaidrojumus anotācijas 1.3. apakšsadaļas risinājuma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9. punkts, nosakot, ka tad, ja atbalsta pretendents par noteikuma projekta pielikuma I daļā minētajām platībām, kas pieteiktas LAD saskaņā ar noteikumu projektu 7. punktu, ir saņēmis atbalstu saskaņā ar normatīvajiem aktiem par Eiropas Savienības ārkārtas atbalsta piešķiršanu lauksaimniekiem augļu un ogu, piena un gaļas liellopu, aitu, kazu un zirgu audzēšanas nozarē (turpmāk – ārkārtas atbalsts), atbalstu aprēķina tikai par to daļu, par kuru netika saņemts ārkārtas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arī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atbalsta pretendents par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I daļā minētajām platībām, kas pieteiktas dienestam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ir saņēmis atbalstu saskaņā ar </w:t>
            </w:r>
            <w:r w:rsidR="00000000" w:rsidRPr="00000000" w:rsidDel="00000000">
              <w:rPr>
                <w:rtl w:val="0"/>
              </w:rPr>
              <w:t xml:space="preserve">normatīvajiem aktiem</w:t>
            </w:r>
            <w:r w:rsidR="00000000" w:rsidRPr="00000000" w:rsidDel="00000000">
              <w:rPr>
                <w:rtl w:val="0"/>
              </w:rPr>
              <w:t xml:space="preserve"> par Eiropas Savienības ārkārtas atbalsta piešķiršanu lauksaimniekiem augļu un ogu, piena un gaļas liellopu, aitu, kazu un zirgu audzēšanas nozarē (turpmāk – ārkārtas atbalsts), atbalstu aprēķina tikai par to daļu, par kuru netika saņemts ārkārtas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piešķir atbalstu, ievērojot regulas </w:t>
            </w:r>
            <w:r w:rsidR="00000000" w:rsidRPr="00000000" w:rsidDel="00000000">
              <w:rPr>
                <w:rtl w:val="0"/>
              </w:rPr>
              <w:t xml:space="preserve">2022/2472</w:t>
            </w:r>
            <w:r w:rsidR="00000000" w:rsidRPr="00000000" w:rsidDel="00000000">
              <w:rPr>
                <w:rtl w:val="0"/>
              </w:rPr>
              <w:t xml:space="preserve"> 25.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10.2. apakšpunktu, ņemot vērā, ka arī noteikumu projekta 4. punktā noteikts, ka  atbalsta piešķiršana notiek saskaņā ar Regulas 2022/2472 25. pantu. Nepieciešamības gadījumā lūdzam veikt noteikumu projektā vajadzīgos precizējumus novēršot iespējamu tiesību normu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ir svītrots, lai novērstu tiesību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kurš pretendē uz atbalstu par graudaugu, tauriņziežu vai eļļas augu platību, apņemas apdrošināt attiecīgā kultūrauga deklarētās platības 2024. un 2025. gadā un līdz attiecīgā gada iesniegumu iesniegšanas kārtas beigām saskaņā ar </w:t>
            </w:r>
            <w:r w:rsidR="00000000" w:rsidRPr="00000000" w:rsidDel="00000000">
              <w:rPr>
                <w:rtl w:val="0"/>
              </w:rPr>
              <w:t xml:space="preserve">normatīvajiem aktiem</w:t>
            </w:r>
            <w:r w:rsidR="00000000" w:rsidRPr="00000000" w:rsidDel="00000000">
              <w:rPr>
                <w:rtl w:val="0"/>
              </w:rPr>
              <w:t xml:space="preserve"> par Valsts un Eiropas Savienības atbalsta piešķiršanas kārtība dzīvnieku, sējumu un stādījumu apdrošināšanai 2023.–2027. gada plānošanas periodā iesniedz dienestā apdrošināšanas polisi.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16.2. apakšpunktu. Vēršam uzmanību, ka tiesību normu piemērotājam varētu būt nepietiekami skaidri saprotams formulējums "</w:t>
            </w:r>
            <w:r w:rsidR="00000000" w:rsidRPr="00000000" w:rsidDel="00000000">
              <w:rPr>
                <w:i w:val="1"/>
                <w:rtl w:val="0"/>
              </w:rPr>
              <w:t xml:space="preserve">līdz attiecīgā gada iesniegumu iesniegšanas kārtas beigām</w:t>
            </w:r>
            <w:r w:rsidR="00000000" w:rsidRPr="00000000" w:rsidDel="00000000">
              <w:rPr>
                <w:rtl w:val="0"/>
              </w:rPr>
              <w:t xml:space="preserve">". Attiecīgi, lūdzam nodrošināt tiesību normu piemērotājam skaidru, viegli un nepārprotami saprotamu noteikumu projekta redakciju, veicot precizējumus noteikumu projektā vai sniedzot izvērstāku skaidrojumu anotācijas 1.3. apakšsadaļas, noteikumu projekta 16.2. apakšpunkta, risinājuma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gan noteikumu projekta 16.2. apakšpunkts, gan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kurš pretendē uz atbalstu par graudaugu, tauriņziežu vai eļļas augu platību, apņemas apdrošināt attiecīgā kultūrauga 2025. un 2026. gada ražu un saskaņā ar </w:t>
            </w:r>
            <w:r w:rsidR="00000000" w:rsidRPr="00000000" w:rsidDel="00000000">
              <w:rPr>
                <w:rtl w:val="0"/>
              </w:rPr>
              <w:t xml:space="preserve">normatīvajiem aktiem</w:t>
            </w:r>
            <w:r w:rsidR="00000000" w:rsidRPr="00000000" w:rsidDel="00000000">
              <w:rPr>
                <w:rtl w:val="0"/>
              </w:rPr>
              <w:t xml:space="preserve"> par Valsts un Eiropas Savienības atbalsta piešķiršanas kārtību dzīvnieku, sējumu un stādījumu apdrošināšanai 2023.–2027. gada plānošanas periodā iesniedz dienestā apdrošināšanas polisi.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projekta skaidrojumus. Iesakām papildināt anotāciju, lai tiesību normu piemērotājam būtu nepārprotami saprotams, kā un kādos gadījumos noteikumu projekts attiecināms. Vēršam uzmanību, ka noteikumu projekts ir skaidrots tikai daļēji, piemēram, nav skaidrots noteikumu projekta 15. un 17. punkts. Skaidrojumiem, īpaši jaunu tiesību normu un normatīvo aktu gadījumā, ir būtiska loma pilnīgas satura un ar to saistīto aspektu izpratnes nodrošināšanai kā arī korektai tiesību normu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6.1.punktā sniegto informāciju, ņemot vērā, ka valsts budžeta programma 02.00.00 "Līdzekļi neparedzētiem gadījumiem" nav ieņēmumi.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 sadaļas 6.1. punktā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sadaļu, ņemot vērā, ka to aizpilda, ja projekts ietekmē spēkā esošo tiesību normu sistēmu. Anotācijas 4.1. apakšsadaļā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 Ja nepieciešams, var norādīt vairākus saistītos tiesību aktus, nospiežot “+” zīmi 4.1. apakšpunktā un aprakstot katru tiesību aktu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saistībā ar ietekmi uz tiesību normu sistēmu ir kāda cita informācija, to norāda šīs sadaļas 4.2. apakšsadaļā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precizēta, iekļaujot atsauci tikai uz rīkojuma projektu Nr. 24-TA-477 "Par finanšu līdzekļu piešķiršanu no valsts budžeta programmas "Līdzekļi neparedzētiem gadījumiem"", kas paredz uzdot Finanšu ministrijai piešķirt no valsts budžeta programmas 02.00.00 "Līdzekļi neparedzētiem gadījumiem" finansējumu noteikumu projektā minētajiem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tabulas rīcības brīvības sadaļu, skaidrojot ne tikai no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25. panta rīcības brīvības neizmantošanu, bet arī citu, no Regulas izrietošo rīcības brīvību izmantošanu/neizmantošanu, ņemot vērā, ka no noteikumu projekta 13. punkta izriet visas regulas ieviešana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5.4. apakšsadaļas 1. tabulu, ņemot vērā, ka Regulas 2022/2472 ieviešana izriet arī no noteikumu projekta 13. punkta redakcijas, kurā ietverta vispārīga atsauce uz minēto Eiropas Savienības tiesību aktu un anotācijas 1.3. apakšsadaļas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 un precizēts noteikumu projekta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24-TA-693</w:t>
    </w:r>
    <w:r>
      <w:br/>
    </w:r>
    <w:r w:rsidR="00000000" w:rsidRPr="00000000" w:rsidDel="00000000">
      <w:rPr>
        <w:rtl w:val="0"/>
      </w:rPr>
      <w:t xml:space="preserve">30.05.2024. 09.31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24-TA-693</w:t>
    </w:r>
    <w:r>
      <w:br/>
    </w:r>
    <w:r w:rsidR="00000000" w:rsidRPr="00000000" w:rsidDel="00000000">
      <w:rPr>
        <w:rtl w:val="0"/>
      </w:rPr>
      <w:t xml:space="preserve">30.05.2024. 09.31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Izziņa_24-TA-693.docx</dc:title>
</cp:coreProperties>
</file>

<file path=docProps/custom.xml><?xml version="1.0" encoding="utf-8"?>
<Properties xmlns="http://schemas.openxmlformats.org/officeDocument/2006/custom-properties" xmlns:vt="http://schemas.openxmlformats.org/officeDocument/2006/docPropsVTypes"/>
</file>