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Ģimnāzijas ielā 12, Daugavpilī,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12:33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1.2. punktā precizēt 2025. gada 27. novembra Ministru kabineta noteikumu “Par valsts nekustamā īpašuma Ģimnāzijas ielā 12, Daugavpilī, 4/5 domājamo daļu nodošanu Daugavpils valstspilsētas pašvaldības īpašumā” numuru. Tas norādīts kā </w:t>
            </w:r>
            <w:r w:rsidR="00000000" w:rsidRPr="00000000" w:rsidDel="00000000">
              <w:rPr>
                <w:b w:val="1"/>
                <w:rtl w:val="0"/>
              </w:rPr>
              <w:t xml:space="preserve">Nr. 745</w:t>
            </w:r>
            <w:r w:rsidR="00000000" w:rsidRPr="00000000" w:rsidDel="00000000">
              <w:rPr>
                <w:rtl w:val="0"/>
              </w:rPr>
              <w:t xml:space="preserve">, pareizais noteikumu numurs ir </w:t>
            </w:r>
            <w:r w:rsidR="00000000" w:rsidRPr="00000000" w:rsidDel="00000000">
              <w:rPr>
                <w:b w:val="1"/>
                <w:rtl w:val="0"/>
              </w:rPr>
              <w:t xml:space="preserve">Nr. 746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1.3. punktā sadaļās "Problēmas apraksts" un "Risinājuma apraksts" precizēt 2025. gada 27. novembra Ministru kabineta noteikumu “Par valsts nekustamā īpašuma Ģimnāzijas ielā 12, Daugavpilī, 4/5 domājamo daļu nodošanu Daugavpils valstspilsētas pašvaldības īpašumā” numuru. Tas norādīts kā</w:t>
            </w:r>
            <w:r w:rsidR="00000000" w:rsidRPr="00000000" w:rsidDel="00000000">
              <w:rPr>
                <w:b w:val="1"/>
                <w:rtl w:val="0"/>
              </w:rPr>
              <w:t xml:space="preserve"> Nr. 745</w:t>
            </w:r>
            <w:r w:rsidR="00000000" w:rsidRPr="00000000" w:rsidDel="00000000">
              <w:rPr>
                <w:rtl w:val="0"/>
              </w:rPr>
              <w:t xml:space="preserve">, pareizais noteikumu numurs ir </w:t>
            </w:r>
            <w:r w:rsidR="00000000" w:rsidRPr="00000000" w:rsidDel="00000000">
              <w:rPr>
                <w:b w:val="1"/>
                <w:rtl w:val="0"/>
              </w:rPr>
              <w:t xml:space="preserve">Nr. 746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1.3. punktā ir minēts, ka ir noslēgti divi telpu nomas līgumi, tie nav ierakstīti zemesgrāmatā un atbilstoši Civillikumam nākamajam nekustamā īpašuma ieguvējam nav saistoši, piedāvājam anotāciju papildināt ar informāciju, ka nākamā nekustamā īpašuma ieguvēja informētības un tiesiskās skaidrības nodrošināšanai VNĪ izsoles noteikumos tiks iekļauta informācija par VNĪ noslēgtajiem telpu nomas līgumiem. Šo skaidrojumu varētu iekļaut 1.3. punktā pie apraksta par nomas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valsts nekustamo īpašumu, VNĪ nekustamā īpašuma izsoles noteikumus iekļaus informāciju par VNĪ  noslēgtajiem telpu nomas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26-TA-666</w:t>
    </w:r>
    <w:r>
      <w:br/>
    </w:r>
    <w:r w:rsidR="00000000" w:rsidRPr="00000000" w:rsidDel="00000000">
      <w:rPr>
        <w:rtl w:val="0"/>
      </w:rPr>
      <w:t xml:space="preserve">23.04.2026. 16.13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26-TA-666</w:t>
    </w:r>
    <w:r>
      <w:br/>
    </w:r>
    <w:r w:rsidR="00000000" w:rsidRPr="00000000" w:rsidDel="00000000">
      <w:rPr>
        <w:rtl w:val="0"/>
      </w:rPr>
      <w:t xml:space="preserve">23.04.2026. 16.13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Izziņa_26-TA-666.docx</dc:title>
</cp:coreProperties>
</file>

<file path=docProps/custom.xml><?xml version="1.0" encoding="utf-8"?>
<Properties xmlns="http://schemas.openxmlformats.org/officeDocument/2006/custom-properties" xmlns:vt="http://schemas.openxmlformats.org/officeDocument/2006/docPropsVTypes"/>
</file>