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23-TA-1060: Noteikumu projekts (Grozījumi)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 (Latvijas Vēstnesis, 2016, 164., 246. nr.; 2017, 130. nr.; 2018, 137., 217. nr.; 2019, 102. nr.; 2020, 146. nr.; 2021, 122. nr.; 2022, 74.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(EM - 29.05.2023.)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Informējam, ka š.g. 2.jūnijā ir plānota CFLA, Kultūras ministrijas un Ekonomikas ministrijas sanāksme, lai rastu piemērotākos risinājumus projektiem, kuriem ir risks sekmīgai pabeigšanai līdz 2023.gada beigām - piemērojot nefunkcionējošu projektu vai posmotu projektu risinājumus. Ir identificēts viens projekts arī šo MK noteikumu ietvaros - Nr.4.2.1.2/18/I/055 "Energoefektivitātes paaugstināšana ēkā A.Briāna ielā 13, Rīgā", kuram nepieciešams risinājums, lai novērstu projektu pabeigšanas risku. Pēc 2.jūnija sanāksmes Ekonomikas ministrija sadarbībā ar CFLA un Kultūras ministriju iesniegs precīzas redakcijas, ar kurām papildināma anotācija un MK noteikumu redakcija, lai sniegtu informāciju par šī konkrētā projekta situāciju un juridisko risinājumu.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Ekonomikas ministrijas Enerģētikas finanšu instrumentu departamenta direktora Gata Silova 2023. gada 6. jūlija e-pastā sniegtajai informācijai ir precizēts noteikumu projekts, anotācija, kā arī protokollēmuma projekts.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Atkārtoti vēršam uzmanību, ka saskaņā ar Ministru kabineta 2018.gada 17.jūlija noteikumu Nr.421 “Kārtība, kādā veic gadskārtējā valsts budžeta likumā noteiktās apropriācijas izmaiņas” 41.punktu līdzekļus no valsts budžeta programmas 02.00.00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minēto, finansējuma piešķiršana Eiropas Savienības politiku instrumentu un pārējās ārvalstu finanšu palīdzības līdzfinansēto projektu un pasākumu īstenošanai un pabeigšanai neatbilst valsts budžeta programmas 02.00.00 “Līdzekļi neparedzētiem gadījumiem” līdzekļu izlietošanas mērķim. Tādējādi informācija par līdzekļu piešķiršanu no valsts budžeta programmas 02.00.00 “Līdzekļi neparedzētiem gadījumiem” anotācijas 1.3.apakšpunkta "Pašreizējā situācija, problēmas un risinājumi" pēdējā rindkopā ir svītrojama. Papildus atzīmējam, ka informācija minētajā rindkopā ir pretrunā ar anotācijas 3.sadaļā "Tiesību akta projekta ietekme uz valsts budžetu un pašvaldību budžetiem" norādīto, kur ietverta informācija, ka Ministru kabineta noteikumu projekta īstenošanai nav ietekmes un valsts un pašvaldību budžetiem.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atbilstoši precizējumi anotācijā. </w:t>
            </w:r>
            <w:r w:rsidR="00000000" w:rsidRPr="00000000" w:rsidDel="00000000">
              <w:rPr>
                <w:i w:val="1"/>
                <w:rtl w:val="0"/>
              </w:rPr>
              <w:t xml:space="preserve">Informācija precizēta sadarbībā ar Ekonomikas ministrijas Enerģētikas finanšu instrumentu departamenta direktoru Gati Silovu.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Ministru kabineta 2018.gada 17.jūlija noteikumu Nr.421 “Kārtība, kādā veic gadskārtējā valsts budžeta likumā noteiktās apropriācijas izmaiņas” 41.punktu līdzekļus no valsts budžeta programmas 02.00.00 “Līdzekļi neparedzētiem gadījumiem” piešķir valstiski īpaši nozīmīgiem pasākumiem, valsts pamatbudžeta apropriācijās neparedzētiem izdevumiem katastrofu un dabas stihiju seku novēršanai un to radīto zaudējumu kompensēšanai un citiem neparedzētiem gadījumiem. Ņemot vērā minēto, finansējuma piešķiršana Eiropas Savienības politiku instrumentu un pārējās ārvalstu finanšu palīdzības līdzfinansēto projektu un pasākumu īstenošanai un pabeigšanai neatbilst valsts budžeta programmas 02.00.00 “Līdzekļi neparedzētiem gadījumiem” līdzekļu izlietošanas mērķim. Tādējādi minētā informācija anotācijas 1.3.apakšpunktā "Pašreizējā situācija, problēmas un risinājumi" ir precizējama.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atbilstoši precizējumi anotācijā. </w:t>
            </w:r>
            <w:r w:rsidR="00000000" w:rsidRPr="00000000" w:rsidDel="00000000">
              <w:rPr>
                <w:i w:val="1"/>
                <w:rtl w:val="0"/>
              </w:rPr>
              <w:t xml:space="preserve">Informācija precizēta sadarbībā ar Ekonomikas ministrijas Enerģētikas finanšu instrumentu departamenta direktoru Gati Silovu.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1.3.sadaļu, norādot skaidri izsekojamu, izvērstu skaidrojumu par iemesliem/problēmām, kāpēc nav iespējams pabeigt projektu Nr.4.2.1.2/18/I/055 "Energoefektivitātes paaugstināšana ēkā A. Briāna ielā 13, Rīgā" līdz 2023.gada 31.decembrim, kā arī vai nepastāv risks, ka minēto projektu nebūs iespējams pabeigt arī līdz pagarinātajam termiņam. Vēršam uzmanību, ka no anotācijā norādītās informācijas nav viennozīmīgi skaidri izsekojams, vai iemesli/problēmas īstenot projektu līdz 2023.gada 31.decembrim ir minētā projekta ietvaros vai arī šāda situācija veidojas dēļ anotācijā norādītā saistītā projekta Nr.5.6.1.0/17/I/004 “Prototipēšanas darbnīcas „Riga Makerspace” izveide nekustamajā īpašumā A. Briāna ielā 13, Rīgā”, kura īstenošanu atbilstoši anotācijā norādītajai informācijai arī nav iespējams nodrošināt līdz 2023.gada 31.decembrim.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Kultūras ministrija kā atbildīgā iestāde par 5.6.1.specifiskā atbalsta mērķa “Veicināt Rīgas pilsētas revitalizāciju, nodrošinot teritorijas efektīvu sociālekonomisko izmantošanu” (5.6.1.SAM) īstenošanu vēl nav iesniegusi oficiālai saskaņošanai grozījumus MK noteikumos par 5.6.1.SAM īstenošanu, kas ļautu pagarināt projekta Nr.5.6.1.0/17/I/004 “Prototipēšanas darbnīcas „Riga Makerspace” izveide nekustamajā īpašumā A. Briāna ielā 13, Rīgā” īstenošanu pēc 2023.gada.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atbilstoši precizējumi anotācijā. </w:t>
            </w:r>
            <w:r w:rsidR="00000000" w:rsidRPr="00000000" w:rsidDel="00000000">
              <w:rPr>
                <w:i w:val="1"/>
                <w:rtl w:val="0"/>
              </w:rPr>
              <w:t xml:space="preserve">Informācija precizēta sadarbībā ar Ekonomikas ministrijas Enerģētikas finanšu instrumentu departamenta direktoru Gati Silovu.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anotācijas 1.6.sadaļu ar norādi, ka paredzētais risinājums (bezatlīdzības lietošana) ir izvērtēts un nepastāv riski ES fondu izdevumu attiecināmībai, t.i. neizpildās Eiropas Parlamenta un Padomes 2013.gada 17.decembra regulas Nr. 1303/2013, ar ko paredz kopīgus noteikumus par Eiropas Reģionālās attīstības fondu, Eiropas Sociālo fondu, Kohēzijas fondu, Eiropas Lauksaimniecības fondu lauku attīstībai un Eiropas Jūrlietu un zivsaimniecības fondu un vispārīgus noteikumus par Eiropas Reģionālās attīstības fondu, Eiropas Sociālo fondu, Kohēzijas fondu un Eiropas Jūrlietu un zivsaimniecības fondu un atceļ Padomes Regulu (EK) Nr. 1083/2006 71.panta 1.punktā minētie apstākļi, kuri paredz atmaksāt saņemto atbalstu Eiropas Komisijai.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Cita informācija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pagarināt projektā Nr.4.2.1.2/18/I/055 "Energoefektivitātes paaugstināšana ēkā A. Briāna ielā 13, Rīgā" plānoto iznākuma rādītāju sasniegšanu līdz 2024. gada 31. oktobrim.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protokollēmuma 3.punktu šādā redakcijā: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Centrālajai finanšu un līgumu aģentūrai līdz 2024. gada 30. aprīlim izmaksāt projektā Nr.4.2.1.2/18/I/055 "Energoefektivitātes paaugstināšana ēkā A. Briāna ielā 13, Rīgā" noslēguma maksājumu pirms projekta pabeigšanas par izdevumiem, kas finansējuma saņēmējam radušies līdz 2023.gada 31.decembrim, pagarināt projektā plānoto iznākuma rādītāju sasniegšanu līdz 2024.gada 31.oktobrim un nepieciešamības gadījumā īstenot projekta darbības pēc 2023.gada 31.decembra par finansējuma saņēmēja privāto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Atļaut Centrālajai finanšu un līgumu aģentūrai līdz 2024. gada 30. aprīlim izmaksāt projektā Nr.4.2.1.2/18/I/055 "Energoefektivitātes paaugstināšana ēkā A. Briāna ielā 13, Rīgā" noslēguma maksājumu pirms projekta pabeigšanas par izdevumiem, kas finansējuma saņēmējam radušies līdz 2023.gada 31.decembrim, pagarināt projektā plānoto iznākuma rādītāju sasniegšanu līdz 2024.gada 31.oktobrim un nepieciešamības gadījumā īstenot projekta darbības pēc 2023.gada 31.decembra par finansējuma saņēmēja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atbilstoši precizējumi.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Atļaut Centrālajai finanšu un līgumu aģentūrai līdz 2024. gada 30. aprīlim izmaksāt projektā Nr. 4.2.1.2/18/I/055 "Energoefektivitātes paaugstināšana ēkā A. Briāna ielā 13, Rīgā" noslēguma maksājumu pirms projekta pabeigšanas par izdevumiem, kas finansējuma saņēmējam radušies līdz 2023. gada 31. decembrim, pagarināt projektā plānoto iznākuma rādītāju sasniegšanu līdz 2024. gada 31. oktobrim un nepieciešamības gadījumā īstenot projekta darbības pēc 2023. gada 31. decembra projektam esošā finansējuma ietvaros.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 4.2.1.2/18/I/055 "Energoefektivitātes paaugstināšana ēkā A. Briāna ielā 13, Rīgā" tiks pabeigts atbilstoši Eiropas Komisijas slēgšanas vadlīniju 7. sadaļai “nefunkcionējošās darbības”, īstenojot projekta darbības pēc 2023. gada 31. decembra par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- 11.08.2023.)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ņemt vērā, ka Finanšu ministrija neiebilst tiesību akta turpmākai virzībai pie nosacījuma, ja projekta Nr.4.2.1.2/18/I/055 "Energoefektivitātes paaugstināšana ēkā A. Briāna ielā 13, Rīgā" pabeigšanai nav nepieciešami papildu valsts budžeta līdzekļi (nerada negatīvu ietekmi uz valsts budžetu). Citādas situācijas gadījuma, tad būtu nepieciešams jauns Ministru kabineta lēmums par finanšu avota risinājumu. Attiecīgi, lai nav pārpratumu, lūdzam precizēt Ministru kabineta sēdes protokollēmuma projekta 4. punktu, izsakot to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Pieņemt zināšanai, ka Eiropas Savienības struktūrfondu un Kohēzijas fonda 2014.-2020.gada plānošanas perioda projekts Nr.4.2.1.2/18/I/055 "Energoefektivitātes paaugstināšana ēkā A. Briāna ielā 13, Rīgā" tiks pabeigts pēc 2023.gada 31.decembra projektam esošā finansējuma ietvaros, īstenojot darbības atbilstoši Eiropas Komisijas slēgšanas vadlīniju 7.sadaļai “nefunkcionējošās darbības”.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veikti precizējumi. </w:t>
            </w:r>
            <w:r w:rsidR="00000000" w:rsidRPr="00000000" w:rsidDel="00000000">
              <w:rPr>
                <w:i w:val="1"/>
                <w:rtl w:val="0"/>
              </w:rPr>
              <w:t xml:space="preserve">Informācija precizēta sadarbībā ar Ekonomikas ministrijas Enerģētikas finanšu instrumentu departamenta direktoru Gati Silovu.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 4.2.1.2/18/I/055 "Energoefektivitātes paaugstināšana ēkā A. Briāna ielā 13, Rīgā" tiks pabeigts pēc 2023. gada 31. decembra projektam esošā finansējuma ietvaros, īstenojot darbības atbilstoši Eiropas Komisijas slēgšanas vadlīniju 7. sadaļai "nefunkcionējošās darbības".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8.1. līdz 2024. gada 31. oktobrim 4.2.1. specifiskā atbalsta mērķa "Veicināt energoefektivitātes paaugstināšanu valsts un dzīvojamās ēkās" ietvaros sasniedzamais rezultāta rādītājs – vidējais siltumenerģijas patēriņš apkurei ēkās ne vairāk kā 120 kWh/m</w:t>
            </w:r>
            <w:r w:rsidR="00000000" w:rsidRPr="00000000" w:rsidDel="00000000">
              <w:rPr>
                <w:vertAlign w:val="superscript"/>
                <w:rtl w:val="0"/>
              </w:rPr>
              <w:t xml:space="preserve">2</w:t>
            </w:r>
            <w:r w:rsidR="00000000" w:rsidRPr="00000000" w:rsidDel="00000000">
              <w:rPr>
                <w:rtl w:val="0"/>
              </w:rPr>
              <w:t xml:space="preserve"> gadā. Rādītājs atspoguļo vidējo siltumenerģijas patēriņu apkurei ēkās visā Latvijas Republikā;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projekta 1. un 2.punktu, kas paredz precizēt termiņu, kādā pasākuma ietvaros kopumā sasniedzami darbības programmā “Izaugsme un nodarbinātība” (DP) noteiktie rādītāji. Vēršam uzmanību, ka sasniedzamie rādītāji ir noteikti atbilstoši DP un to sasniegšana joprojām ir jānodrošina līdz 2023.gada 31.decembrim. Papildus skaidrojam, ka MK noteikumu projekts jau paredz grozījumus, iekļaujot jaunus nosacījumus/papildu punktus un izpildes termiņus tādiem projektiem, kuros sasniedzamos rādītājus objektīvu apstākļu dēļ nav iespējams īstenot atbilstoši DP nosacījumiem. Attiecīgi izņēmuma nosacījumi sasniegt projektā izvirzītos rādītājus jau noteikti citos MK noteikumu projekta punktos – piemēram, MK noteikumu projekta 3., 15. un 16.punkts.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grozījumi noteikumu 8.1. un 8.2. apakšpunktos netiek veikti, paliek redakcijas, kas ir šobrīd spēkā esošajos noteikumos.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9.</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Šo noteikumu 52. punktā minētajā gadījumā komercdarbības atbalsts, kas attiecināms uz bezatlīdzības lietošanā nodoto ēku, ēkas daļu vai ēku grupu, kurā veikts energoefektivitātes projekts, var tikt piešķirts patiesā labuma guvējam saskaņā ar Eiropas Komisijas 2011. gada 20. decembra lēmumu Nr. </w:t>
            </w:r>
            <w:r w:rsidR="00000000" w:rsidRPr="00000000" w:rsidDel="00000000">
              <w:rPr>
                <w:rtl w:val="0"/>
              </w:rPr>
              <w:t xml:space="preserve">2012/21/ES</w:t>
            </w:r>
            <w:r w:rsidR="00000000" w:rsidRPr="00000000" w:rsidDel="00000000">
              <w:rPr>
                <w:rtl w:val="0"/>
              </w:rPr>
              <w:t xml:space="preserve"> par Līguma par Eiropas Savienības darbību </w:t>
            </w:r>
            <w:r w:rsidR="00000000" w:rsidRPr="00000000" w:rsidDel="00000000">
              <w:rPr>
                <w:rtl w:val="0"/>
              </w:rPr>
              <w:t xml:space="preserve">106. panta</w:t>
            </w:r>
            <w:r w:rsidR="00000000" w:rsidRPr="00000000" w:rsidDel="00000000">
              <w:rPr>
                <w:rtl w:val="0"/>
              </w:rPr>
              <w:t xml:space="preserve"> 2. punkta piemērošanu valsts atbalstam attiecībā uz kompensāciju par sabiedriskajiem pakalpojumiem dažiem uzņēmumiem, kuriem uzticēts sniegt pakalpojumus ar vispārēju tautsaimniecisku nozīmi (turpmāk – Eiropas Komisijas lēmums Nr. </w:t>
            </w:r>
            <w:r w:rsidR="00000000" w:rsidRPr="00000000" w:rsidDel="00000000">
              <w:rPr>
                <w:rtl w:val="0"/>
              </w:rPr>
              <w:t xml:space="preserve">2012/21/ES</w:t>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- 26.05.2023.)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48.</w:t>
            </w:r>
            <w:r w:rsidR="00000000" w:rsidRPr="00000000" w:rsidDel="00000000">
              <w:rPr>
                <w:vertAlign w:val="superscript"/>
                <w:rtl w:val="0"/>
              </w:rPr>
              <w:t xml:space="preserve">2</w:t>
            </w:r>
            <w:r w:rsidR="00000000" w:rsidRPr="00000000" w:rsidDel="00000000">
              <w:rPr>
                <w:rtl w:val="0"/>
              </w:rPr>
              <w:t xml:space="preserve">, 48.</w:t>
            </w:r>
            <w:r w:rsidR="00000000" w:rsidRPr="00000000" w:rsidDel="00000000">
              <w:rPr>
                <w:vertAlign w:val="superscript"/>
                <w:rtl w:val="0"/>
              </w:rPr>
              <w:t xml:space="preserve">3</w:t>
            </w:r>
            <w:r w:rsidR="00000000" w:rsidRPr="00000000" w:rsidDel="00000000">
              <w:rPr>
                <w:rtl w:val="0"/>
              </w:rPr>
              <w:t xml:space="preserve">2., 48.</w:t>
            </w:r>
            <w:r w:rsidR="00000000" w:rsidRPr="00000000" w:rsidDel="00000000">
              <w:rPr>
                <w:vertAlign w:val="superscript"/>
                <w:rtl w:val="0"/>
              </w:rPr>
              <w:t xml:space="preserve">5 </w:t>
            </w:r>
            <w:r w:rsidR="00000000" w:rsidRPr="00000000" w:rsidDel="00000000">
              <w:rPr>
                <w:rtl w:val="0"/>
              </w:rPr>
              <w:t xml:space="preserve">un 48.</w:t>
            </w:r>
            <w:r w:rsidR="00000000" w:rsidRPr="00000000" w:rsidDel="00000000">
              <w:rPr>
                <w:vertAlign w:val="superscript"/>
                <w:rtl w:val="0"/>
              </w:rPr>
              <w:t xml:space="preserve">6</w:t>
            </w:r>
            <w:r w:rsidR="00000000" w:rsidRPr="00000000" w:rsidDel="00000000">
              <w:rPr>
                <w:rtl w:val="0"/>
              </w:rPr>
              <w:t xml:space="preserve"> punktā norādītas atsauces uz Eiropas Komisijas 2011.  gada 20. decembra lēmumu Nr. 2012/21/ES Par Līguma par Eiropas Savienības darbību 106. panta 2. punkta piemērošanu valsts atbalstam attiecībā uz kompensāciju par sabiedriskajiem pakalpojumiem dažiem uzņēmumiem, kuriem uzticēts sniegt pakalpojumus ar vispārēju tautsaimniecisku nozīmi (turpmāk - Lēmums). Norādām, ka saskaņā ar Līguma par Eiropas Savienības darbību 288. pantu lēmumi, kuros ir norādīti konkrēti adresāti, ir saistoši tikai šiem adresātiem. Ja lēmumu adresāts ir dalībvalstis un ir nepieciešams to normas padarīt saistošas privātpersonām, tad lēmumi ir jāpārņem valsts tiesību sistēmā tāpat kā direktīvas.[1]</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2. pants noteic, ka šo lēmumu piemēro valsts atbalstam attiecībā uz kompensāciju par sabiedrisko pakalpojumu sniegšanu, kas piešķirta uzņēmumiem, kuriem uzticēts sniegt pakalpojumus ar vispārēju tautsaimniecisku nozīmi.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Lēmuma 13. pants noteic, ka šis lēmums ir adresēts dalībvalstīm. Šajā gadījumā nepieciešams izvērtēt, vai Lēmums satur tādas normas, kas attiecināmas arī uz privātpersonām. Ja Lēmums šādas normas satur, tad lūdzam tās pārņemt noteikumu projektā un attiecīgi precizēt visu noteikumu projekta, svītrojot atsauces uz Lēmumu. Ja Lēmums nesatur normas, kas jāattiecina uz privātpersonām, un Lēmumu var tieši izpildīt valsts iestādes, tad arī šādā gadījumā noteikumu projektā atsauces uz Lēmumu svītrojamas, jo atbilstoši Ministru kabineta 2009. gada 3. februāra noteikumu Nr. 108 „Normatīvo aktu projektu sagatavošanas noteikumi” 170.-172. punktam normatīvā akta tekstā atsauces raksta tikai uz Eiropas Savienības regulām.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Skat. arī Eiropas Savienības tiesību ieviešanas rokasgrāmatas 2.8. apakšnodaļu „Lēmumu ieviešana”, 48. lp., pieejama: https://www.tm.gov.lv/lv/es-tiesibu-ieviesana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Daļēji ņemts vērā. 2023. gada 5. jūnijā saņemta Finanšu ministrijas Komercdarbības atbalsta kontroles departamenta vecākās ekspertes Ilzes Kreicbergas e-pasta vēstule, kurā norādīts, ka atsauce uz VTNP lēmumu noteikumu projekta 48.</w:t>
            </w:r>
            <w:r w:rsidR="00000000" w:rsidRPr="00000000" w:rsidDel="00000000">
              <w:rPr>
                <w:vertAlign w:val="superscript"/>
                <w:rtl w:val="0"/>
              </w:rPr>
              <w:t xml:space="preserve">6 </w:t>
            </w:r>
            <w:r w:rsidR="00000000" w:rsidRPr="00000000" w:rsidDel="00000000">
              <w:rPr>
                <w:rtl w:val="0"/>
              </w:rPr>
              <w:t xml:space="preserve">punktā ir jāsaglabā.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2</w:t>
            </w:r>
            <w:r w:rsidR="00000000" w:rsidRPr="00000000" w:rsidDel="00000000">
              <w:rPr>
                <w:rtl w:val="0"/>
              </w:rPr>
              <w:t xml:space="preserve"> Šo noteikumu 52. punktā minētajā gadījumā komercdarbības atbalsts, kas attiecināms uz bezatlīdzības lietošanā nodoto ēku, ēkas daļu vai ēku grupu, kurā veikts energoefektivitātes projekts, var tikt piešķirts patiesā labuma guvējam saskaņā ar šo noteikumu 48.</w:t>
            </w:r>
            <w:r w:rsidR="00000000" w:rsidRPr="00000000" w:rsidDel="00000000">
              <w:rPr>
                <w:vertAlign w:val="superscript"/>
                <w:rtl w:val="0"/>
              </w:rPr>
              <w:t xml:space="preserve">3</w:t>
            </w:r>
            <w:r w:rsidR="00000000" w:rsidRPr="00000000" w:rsidDel="00000000">
              <w:rPr>
                <w:rtl w:val="0"/>
              </w:rPr>
              <w:t xml:space="preserve">, 48.</w:t>
            </w:r>
            <w:r w:rsidR="00000000" w:rsidRPr="00000000" w:rsidDel="00000000">
              <w:rPr>
                <w:vertAlign w:val="superscript"/>
                <w:rtl w:val="0"/>
              </w:rPr>
              <w:t xml:space="preserve">4</w:t>
            </w:r>
            <w:r w:rsidR="00000000" w:rsidRPr="00000000" w:rsidDel="00000000">
              <w:rPr>
                <w:rtl w:val="0"/>
              </w:rPr>
              <w:t xml:space="preserve">, 48.</w:t>
            </w:r>
            <w:r w:rsidR="00000000" w:rsidRPr="00000000" w:rsidDel="00000000">
              <w:rPr>
                <w:vertAlign w:val="superscript"/>
                <w:rtl w:val="0"/>
              </w:rPr>
              <w:t xml:space="preserve">5</w:t>
            </w:r>
            <w:r w:rsidR="00000000" w:rsidRPr="00000000" w:rsidDel="00000000">
              <w:rPr>
                <w:rtl w:val="0"/>
              </w:rPr>
              <w:t xml:space="preserve"> un 48.</w:t>
            </w:r>
            <w:r w:rsidR="00000000" w:rsidRPr="00000000" w:rsidDel="00000000">
              <w:rPr>
                <w:vertAlign w:val="superscript"/>
                <w:rtl w:val="0"/>
              </w:rPr>
              <w:t xml:space="preserve">6</w:t>
            </w:r>
            <w:r w:rsidR="00000000" w:rsidRPr="00000000" w:rsidDel="00000000">
              <w:rPr>
                <w:rtl w:val="0"/>
              </w:rPr>
              <w:t xml:space="preserve"> punktu.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Veikto investīciju atbilstības uzraudzību šo noteikumu </w:t>
            </w:r>
            <w:r w:rsidR="00000000" w:rsidRPr="00000000" w:rsidDel="00000000">
              <w:rPr>
                <w:rtl w:val="0"/>
              </w:rPr>
              <w:t xml:space="preserve">48.</w:t>
            </w:r>
            <w:r w:rsidR="00000000" w:rsidRPr="00000000" w:rsidDel="00000000">
              <w:rPr>
                <w:rtl w:val="0"/>
              </w:rPr>
              <w:t xml:space="preserve">, </w:t>
            </w:r>
            <w:r w:rsidR="00000000" w:rsidRPr="00000000" w:rsidDel="00000000">
              <w:rPr>
                <w:rtl w:val="0"/>
              </w:rPr>
              <w:t xml:space="preserve">48.</w:t>
            </w:r>
            <w:r w:rsidR="00000000" w:rsidRPr="00000000" w:rsidDel="00000000">
              <w:rPr>
                <w:vertAlign w:val="superscript"/>
                <w:rtl w:val="0"/>
              </w:rPr>
              <w:t xml:space="preserve">1</w:t>
            </w:r>
            <w:r w:rsidR="00000000" w:rsidRPr="00000000" w:rsidDel="00000000">
              <w:rPr>
                <w:rtl w:val="0"/>
              </w:rPr>
              <w:t xml:space="preserve"> un 48.</w:t>
            </w:r>
            <w:r w:rsidR="00000000" w:rsidRPr="00000000" w:rsidDel="00000000">
              <w:rPr>
                <w:vertAlign w:val="superscript"/>
                <w:rtl w:val="0"/>
              </w:rPr>
              <w:t xml:space="preserve">2</w:t>
            </w:r>
            <w:r w:rsidR="00000000" w:rsidRPr="00000000" w:rsidDel="00000000">
              <w:rPr>
                <w:rtl w:val="0"/>
              </w:rPr>
              <w:t xml:space="preserve"> punkta nosacījumiem reizi gadā visā projekta dzīves ciklā nodrošina sadarbības iestāde.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MK noteikumu 50.punktā norādīto atsauci uz MK noteikumu 48.</w:t>
            </w:r>
            <w:r w:rsidR="00000000" w:rsidRPr="00000000" w:rsidDel="00000000">
              <w:rPr>
                <w:vertAlign w:val="superscript"/>
                <w:rtl w:val="0"/>
              </w:rPr>
              <w:t xml:space="preserve">2</w:t>
            </w:r>
            <w:r w:rsidR="00000000" w:rsidRPr="00000000" w:rsidDel="00000000">
              <w:rPr>
                <w:rtl w:val="0"/>
              </w:rPr>
              <w:t xml:space="preserve"> punktu, ņemot vērā, ka uzraudzības reizi gadā nosacījums attiecas tikai uz nesaimnieciskajiem projektiem atbilstoši MK noteikumu 48.punktā, 48.</w:t>
            </w:r>
            <w:r w:rsidR="00000000" w:rsidRPr="00000000" w:rsidDel="00000000">
              <w:rPr>
                <w:vertAlign w:val="superscript"/>
                <w:rtl w:val="0"/>
              </w:rPr>
              <w:t xml:space="preserve">1</w:t>
            </w:r>
            <w:r w:rsidR="00000000" w:rsidRPr="00000000" w:rsidDel="00000000">
              <w:rPr>
                <w:rtl w:val="0"/>
              </w:rPr>
              <w:t xml:space="preserve">.apakšpunktā noteiktajam, savukārt MK noteikumu 48.</w:t>
            </w:r>
            <w:r w:rsidR="00000000" w:rsidRPr="00000000" w:rsidDel="00000000">
              <w:rPr>
                <w:vertAlign w:val="superscript"/>
                <w:rtl w:val="0"/>
              </w:rPr>
              <w:t xml:space="preserve">2</w:t>
            </w:r>
            <w:r w:rsidR="00000000" w:rsidRPr="00000000" w:rsidDel="00000000">
              <w:rPr>
                <w:rtl w:val="0"/>
              </w:rPr>
              <w:t xml:space="preserve"> punktā minētā vispārējās tautsaimniecības nozīmes pakalpojuma atbalsta uzraudzības nosacījumi tiks iekļauti vienošanās par projekta īstenošanu (NVD apliecinājums par pārkompensāciju atbilstoši MK noteikumu 48.3</w:t>
            </w:r>
            <w:r w:rsidR="00000000" w:rsidRPr="00000000" w:rsidDel="00000000">
              <w:rPr>
                <w:vertAlign w:val="superscript"/>
                <w:rtl w:val="0"/>
              </w:rPr>
              <w:t xml:space="preserve">2</w:t>
            </w:r>
            <w:r w:rsidR="00000000" w:rsidRPr="00000000" w:rsidDel="00000000">
              <w:rPr>
                <w:rtl w:val="0"/>
              </w:rPr>
              <w:t xml:space="preserve">.apakšpunktam tiks iesniegts pirms vienošanās grozījumu veikšanas, un turpmāk pēc Centrālās finanšu un līgumu aģentūras pieprasījuma).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norādījumam 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50. Veikto investīciju atbilstības uzraudzību šo noteikumu </w:t>
            </w:r>
            <w:r w:rsidR="00000000" w:rsidRPr="00000000" w:rsidDel="00000000">
              <w:rPr>
                <w:rtl w:val="0"/>
              </w:rPr>
              <w:t xml:space="preserve">48.</w:t>
            </w:r>
            <w:r w:rsidR="00000000" w:rsidRPr="00000000" w:rsidDel="00000000">
              <w:rPr>
                <w:rtl w:val="0"/>
              </w:rPr>
              <w:t xml:space="preserve"> un </w:t>
            </w:r>
            <w:r w:rsidR="00000000" w:rsidRPr="00000000" w:rsidDel="00000000">
              <w:rPr>
                <w:rtl w:val="0"/>
              </w:rPr>
              <w:t xml:space="preserve">48.</w:t>
            </w:r>
            <w:r w:rsidR="00000000" w:rsidRPr="00000000" w:rsidDel="00000000">
              <w:rPr>
                <w:vertAlign w:val="superscript"/>
                <w:rtl w:val="0"/>
              </w:rPr>
              <w:t xml:space="preserve">1</w:t>
            </w:r>
            <w:r w:rsidR="00000000" w:rsidRPr="00000000" w:rsidDel="00000000">
              <w:rPr>
                <w:rtl w:val="0"/>
              </w:rPr>
              <w:t xml:space="preserve"> punkta nosacījumiem reizi gadā visā projekta dzīves ciklā nodrošina sadarbības iestāde.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53.punktu, norādot, ka - "..finansējuma saņēmējs var pabeigt projektā plānotās aktivitātes un sasniegt plānotos iznākuma rādītājus par </w:t>
            </w:r>
            <w:r w:rsidR="00000000" w:rsidRPr="00000000" w:rsidDel="00000000">
              <w:rPr>
                <w:b w:val="1"/>
                <w:i w:val="1"/>
                <w:rtl w:val="0"/>
              </w:rPr>
              <w:t xml:space="preserve">privātiem</w:t>
            </w:r>
            <w:r w:rsidR="00000000" w:rsidRPr="00000000" w:rsidDel="00000000">
              <w:rPr>
                <w:rtl w:val="0"/>
              </w:rPr>
              <w:t xml:space="preserve"> līdzekļiem..". Lūdzam atbilstoši precizēt arī citus saistošos MK noteiku projekta punktus un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privātiem līdzekļiem līdz 2024. gada 31. oktobrim.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saviem līdzekļiem.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23.punktu, norādot termiņu, līdz kuram projekta īstenošana ir jāpabeidz par saviem līdzekļiem. Vēršam uzmanību, ka projekts ir uzskatāms par pabeigtu, kad ir īstenotas tajā paredzētās darbības, sasniegts izvirzītais mērķis un nodrošināta tā funkcionalitāte.</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53. Gadījumos, kad finansējuma saņēmējs nevar pilnībā pabeigt projektā plānotās aktivitātes un sasniegt projektā plānotos iznākuma rādītājus līdz 2023. gada 31. decembrim, finansējuma saņēmējs var pabeigt projektā plānotās aktivitātes un sasniegt plānotos iznākuma rādītājus par privātiem līdzekļiem līdz 2024. gada 31. oktobrim. </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grozījumus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un precizēt MK noteikumu projekta 54.1apakšpunktā noteikto termiņu. Vēršam uzmanību, ka 2023.gada 31.decembris ir Eiropas Savienības struktūrfondu un Kohēzijas fonda izdevumu attiecināmības termiņš, attiecīgi līdz minētajam termiņam būtu jābūt pabeigtam arī projektam. Lai sadarbības iestāde varētu izvērtēt līguma un vienošanās grozījumu pamatotību un veikt attiecīgos grozījumus - pagarinot projekta īstenošanas termiņu, ir nepieciešams papildus laiks. Līdz ar to nav iespējams iekļauties termiņā, ja grozījumu pieprasījums tiks iesniegts, piemēram 2023.gada 29.decembrī, kas ir pēdējā gada darba diena.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Ņemts vērā. Skaidrojam, ka CFLA (sadarbības iestādes) līguma par projekta īstenošanu Vispārīgie noteikumi nosaka, ka “11.2. Ja Sadarbības iestāde Finansējuma saņēmēja ierosinātos Līguma grozījumus apstiprina, tie stājas spēkā ar attiecīgo grozījumu priekšlikuma saņemšanas dienu Sadarbības iestādē”. Attiecīgi šobrīd noteiktais termiņš Ministru kabineta noteikumos, līdz kuram ir jāiesniedz līguma grozījumi, ir pietiekams sadarbības iestādes turpmāko darbību veikšanai, jo tās var notikt arī 2024. gadā.  Skaidrojam, ka projekta grozījumi, būs par to, ka projekts turpināsies 2024. gadā un kāds būs jaunais finansējuma sadalījums starp attiecināmajiem/neattiecināmajiem izdevumiem. </w:t>
            </w:r>
            <w:r w:rsidR="00000000" w:rsidRPr="00000000" w:rsidDel="00000000">
              <w:rPr>
                <w:i w:val="1"/>
                <w:rtl w:val="0"/>
              </w:rPr>
              <w:t xml:space="preserve">Skaidrojums sagatavots sadarbībā ar Ekonomikas ministrijas Enerģētikas finanšu instrumentu departamenta direktoru Gati Silovu.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vai vienošanās grozījumus ne vēlāk kā līdz 2023. gada 31. decembrim;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redakcionāli precizēt anotācijas 3.sadaļas punktā "Cita informācija" norādīto informāciju, to izsakot šādā redakcijā: "Ietekme uz valsts budžetu nav".</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norādījumam precizēta anotācija.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Ministru kabineta protokollēmumu ar punktu piedāvātajā redakcijā.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 Pieņemt zināšanai, ka Eiropas Savienības struktūrfondu un Kohēzijas fonda 2014. - 2020. gada plānošanas perioda projekts Nr.4.2.1.2/18/I/055 "Energoefektivitātes paaugstināšana ēkā A. Briāna ielā 13, Rīgā", tiks pabeigts atbilstoši Eiropas Komisija  slēgšanas vadlīniju 7. sadaļai “nefunkcionējošās darbības”, īstenojot projekta darbības pēc 2023. gada 31. decembra par privāto finansējumu.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Protokollēmums papildināts.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2016. gada 9. augusta noteikumos Nr. 534 "Darbības programmas "Izaugsme un nodarbinātība" 4.2.1. specifiskā atbalsta mērķa "Veicināt energoefektivitātes paaugstināšanu valsts un dzīvojamās ēkās" 4.2.1.2. pasākuma "Veicināt energoefektivitātes paaugstināšanu valsts ēkās" pirmās projektu iesniegumu atlases kārtas īstenošanas noteikumi""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iesniedzēja īpašumā, lietošanā vai valdījumā esošajā infrastruktūrā (ēkā, ēkas daļā vai ēku grupā, par kuru iesniegts projektu iesniegums), kas tiek izmantota tādu funkciju vai pārvaldes uzdevumu nodrošināšanai, kuri nav saistīti ar saimniecisko darbību, pamatlīdzekļu un ilgtermiņa ieguldījumu nolietojuma periodā pieļaujams veikt papildinošu saimniecisko darbību 20% apmērā no infrastruktūras gada jaudas platības, laika vai finanšu izteiksmē, lai atbalsts pasākuma ietvaros netiktu kvalificēts kā komercdarbības atbalsts. Ar papildinošu saimniecisko darbību saprot darbības, kas ir tieši saistītas ar ēkas vai ēku grupas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 MK noteikumu projektu jaunā redakcijā paredzēts izteikt noteikumu 48.punktu, tā pirmajā teikumā iekavās norādīto uzskaitījumu papildinot ar vārdiem "ēkas daļā", proti, 48.punkta pirmajā teikumā uzskaitījums norādīts sekojošā redakcijā: "(ēkā, </w:t>
            </w:r>
            <w:r w:rsidR="00000000" w:rsidRPr="00000000" w:rsidDel="00000000">
              <w:rPr>
                <w:u w:val="single"/>
                <w:rtl w:val="0"/>
              </w:rPr>
              <w:t xml:space="preserve">ēkas daļā</w:t>
            </w:r>
            <w:r w:rsidR="00000000" w:rsidRPr="00000000" w:rsidDel="00000000">
              <w:rPr>
                <w:rtl w:val="0"/>
              </w:rPr>
              <w:t xml:space="preserve"> vai ēku grupā, par kuru iesniegts projektu iesniegums)".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attiecīgs papildinājums par "ēkas daļu" nav veicams arī šī paša 48.punkta otrajā teikumā, kur arī ir minēta ēka un ēku grupa.</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Precizēts noteikumu projekta punkts.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 Projekta iesniedzēja īpašumā, lietošanā vai valdījumā esošajā infrastruktūrā (ēkā, ēkas daļā vai ēku grupā, par kuru iesniegts projektu iesniegums), kas tiek izmantota tādu funkciju vai pārvaldes uzdevumu nodrošināšanai, kuri nav saistīti ar saimniecisko darbību, pamatlīdzekļu un ilgtermiņa ieguldījumu nolietojuma periodā pieļaujams veikt papildinošu saimniecisko darbību 20% apmērā no infrastruktūras gada jaudas platības, laika vai finanšu izteiksmē, lai atbalsts pasākuma ietvaros netiktu kvalificēts kā komercdarbības atbalsts. Ar papildinošu saimniecisko darbību saprot darbības, kas ir tieši saistītas ar ēkas, ēkas daļas vai ēku grupas ekspluatāciju un tai nepieciešamas vai nesaraujami saistītas ar tās galveno ar saimniecisko darbību nesaistīto izmantojumu, patērējot tādu pašu resursu (piemēram, materiāli, aprīkojums, darbaspēks, pamatkapitāls) apjomu kā ar saimniecisko darbību nesaistītajām darbībām.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3</w:t>
            </w:r>
            <w:r w:rsidR="00000000" w:rsidRPr="00000000" w:rsidDel="00000000">
              <w:rPr>
                <w:rtl w:val="0"/>
              </w:rPr>
              <w:t xml:space="preserve">1.5. sabiedrisko pakalpojumu sniedzējam piešķirtām ekskluzīvām vai īpašām tiesībām;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- 30.05.2023.)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MK noteikumu projekta 48.</w:t>
            </w:r>
            <w:r w:rsidR="00000000" w:rsidRPr="00000000" w:rsidDel="00000000">
              <w:rPr>
                <w:vertAlign w:val="superscript"/>
                <w:rtl w:val="0"/>
              </w:rPr>
              <w:t xml:space="preserve">3</w:t>
            </w:r>
            <w:r w:rsidR="00000000" w:rsidRPr="00000000" w:rsidDel="00000000">
              <w:rPr>
                <w:rtl w:val="0"/>
              </w:rPr>
              <w:t xml:space="preserve">1.5. apakšpunkta redakciju atbilstoši Komisijas lēmuma par Līguma par Eiropas Savienības darbību 106.panta 2.punkta piemērošanu valsts atbalstam attiecībā uz kompensāciju par sabiedriskajiem pakalpojumiem dažiem uzņēmumiem, kuriem uzticēts sniegt pakalpojumus ar vispārēju tautsaimniecisku nozīmi (2012/21/ES) 4.panta c) apakšpunktam. Vēršam uzmanību, ka līgumā nav jābūt lietotam terminam 'īpašas' vai 'ekskluzīvas' tiesības, bet līgumā jābūt ietvertai īpašo vai ekskluzīvo tiesību būtībai, kā to nosaka iepriekšminētā EK lēmuma 4.panta c)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norādījumam precizēts noteikumu projekts.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48.</w:t>
            </w:r>
            <w:r w:rsidR="00000000" w:rsidRPr="00000000" w:rsidDel="00000000">
              <w:rPr>
                <w:vertAlign w:val="superscript"/>
                <w:rtl w:val="0"/>
              </w:rPr>
              <w:t xml:space="preserve">3</w:t>
            </w:r>
            <w:r w:rsidR="00000000" w:rsidRPr="00000000" w:rsidDel="00000000">
              <w:rPr>
                <w:rtl w:val="0"/>
              </w:rPr>
              <w:t xml:space="preserve">1.5. pakalpojuma ar vispārēju tautsaimniecisku nozīmi sniedzējam piešķirto ekskluzīvo vai īpašo tiesību būtību;</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grozījumus ne vēlāk kā līdz 2023. gada 31. decembrim;</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(FM - 24.07.2023.)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MK noteikumu projekta 54.1.apakšpunktu ar vārdiem "un vienošanās" aiz vārda "līguma". Attiecīgu precizējumu lūdzam veikt arī MK noteikumu projekta 56.punktā.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Veikti precizējumi.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54.1. iesniedz sadarbības iestādē līguma vai vienošanās grozījumus ne vēlāk kā līdz 2023. gada 31. decembrim;</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23-TA-1060</w:t>
    </w:r>
    <w:r>
      <w:br/>
    </w:r>
    <w:r w:rsidR="00000000" w:rsidRPr="00000000" w:rsidDel="00000000">
      <w:rPr>
        <w:rtl w:val="0"/>
      </w:rPr>
      <w:t xml:space="preserve">30.08.2023. 09.50</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23-TA-1060</w:t>
    </w:r>
    <w:r>
      <w:br/>
    </w:r>
    <w:r w:rsidR="00000000" w:rsidRPr="00000000" w:rsidDel="00000000">
      <w:rPr>
        <w:rtl w:val="0"/>
      </w:rPr>
      <w:t xml:space="preserve">30.08.2023. 09.50</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Izziņa_23-TA-1060.docx</dc:title>
</cp:coreProperties>
</file>

<file path=docProps/custom.xml><?xml version="1.0" encoding="utf-8"?>
<Properties xmlns="http://schemas.openxmlformats.org/officeDocument/2006/custom-properties" xmlns:vt="http://schemas.openxmlformats.org/officeDocument/2006/docPropsVTypes"/>
</file>